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Desale Pravin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73"/>
        <w:gridCol w:w="373"/>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66.8525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73,836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137.44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73,332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under the Issuer's 2012 Employee Stock Purchase Plan ("ESPP") in a transaction that was exempt under both Rule 16b-3(d) and Rule 16b-3(c). The acquisition reflects the officer's participation in the ESPP through payroll deductions during the applicable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Pravin Desale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449"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3590</Characters>
  <CharactersWithSpaces>4190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