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858ds3asr.htm"/>
        <w:bookmarkStart w:id="1" w:name="ksd7985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October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8"/>
        </w:rPr>
      </w:pPr>
      <w:r>
        <w:rPr>
          <w:rFonts w:ascii="Times New Roman" w:hAnsi="Times New Roman"/>
          <w:b/>
          <w:sz w:val="48"/>
        </w:rPr>
        <w:t xml:space="preserve">Lattice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93-0835214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80" w:after="0"/>
        <w:jc w:val="center"/>
        <w:rPr>
          <w:rFonts w:ascii="Times New Roman" w:hAnsi="Times New Roman"/>
          <w:b/>
          <w:sz w:val="20"/>
        </w:rPr>
      </w:pPr>
      <w:r>
        <w:rPr>
          <w:rFonts w:ascii="Times New Roman" w:hAnsi="Times New Roman"/>
          <w:b/>
          <w:sz w:val="20"/>
        </w:rPr>
        <w:t xml:space="preserve">5555 NE Moore Court </w:t>
      </w:r>
    </w:p>
    <w:p>
      <w:pPr>
        <w:pStyle w:val="TextBody"/>
        <w:bidi w:val="0"/>
        <w:spacing w:before="0" w:after="0"/>
        <w:jc w:val="center"/>
        <w:rPr>
          <w:rFonts w:ascii="Times New Roman" w:hAnsi="Times New Roman"/>
          <w:b/>
          <w:sz w:val="20"/>
        </w:rPr>
      </w:pPr>
      <w:r>
        <w:rPr>
          <w:rFonts w:ascii="Times New Roman" w:hAnsi="Times New Roman"/>
          <w:b/>
          <w:sz w:val="20"/>
        </w:rPr>
        <w:t xml:space="preserve">Hillsboro, Oregon 97124 </w:t>
      </w:r>
    </w:p>
    <w:p>
      <w:pPr>
        <w:pStyle w:val="TextBody"/>
        <w:bidi w:val="0"/>
        <w:spacing w:before="0" w:after="0"/>
        <w:jc w:val="center"/>
        <w:rPr>
          <w:rFonts w:ascii="Times New Roman" w:hAnsi="Times New Roman"/>
          <w:b/>
          <w:sz w:val="20"/>
        </w:rPr>
      </w:pPr>
      <w:r>
        <w:rPr>
          <w:rFonts w:ascii="Times New Roman" w:hAnsi="Times New Roman"/>
          <w:b/>
          <w:sz w:val="20"/>
        </w:rPr>
        <w:t xml:space="preserve">(503) 268-8000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0"/>
        </w:rPr>
      </w:pPr>
      <w:r>
        <w:rPr>
          <w:rFonts w:ascii="Times New Roman" w:hAnsi="Times New Roman"/>
          <w:b/>
          <w:sz w:val="20"/>
        </w:rPr>
        <w:t xml:space="preserve">Tracy Feanny </w:t>
      </w:r>
    </w:p>
    <w:p>
      <w:pPr>
        <w:pStyle w:val="TextBody"/>
        <w:bidi w:val="0"/>
        <w:spacing w:before="0" w:after="0"/>
        <w:jc w:val="center"/>
        <w:rPr>
          <w:rFonts w:ascii="Times New Roman" w:hAnsi="Times New Roman"/>
          <w:b/>
          <w:sz w:val="20"/>
        </w:rPr>
      </w:pPr>
      <w:r>
        <w:rPr>
          <w:rFonts w:ascii="Times New Roman" w:hAnsi="Times New Roman"/>
          <w:b/>
          <w:sz w:val="20"/>
        </w:rPr>
        <w:t xml:space="preserve">Senior Vice President, 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5555 NE Moore Court </w:t>
      </w:r>
    </w:p>
    <w:p>
      <w:pPr>
        <w:pStyle w:val="TextBody"/>
        <w:bidi w:val="0"/>
        <w:spacing w:before="0" w:after="0"/>
        <w:jc w:val="center"/>
        <w:rPr>
          <w:rFonts w:ascii="Times New Roman" w:hAnsi="Times New Roman"/>
          <w:b/>
          <w:sz w:val="20"/>
        </w:rPr>
      </w:pPr>
      <w:r>
        <w:rPr>
          <w:rFonts w:ascii="Times New Roman" w:hAnsi="Times New Roman"/>
          <w:b/>
          <w:sz w:val="20"/>
        </w:rPr>
        <w:t xml:space="preserve">Hillsboro, Oregon 97124 </w:t>
      </w:r>
    </w:p>
    <w:p>
      <w:pPr>
        <w:pStyle w:val="TextBody"/>
        <w:bidi w:val="0"/>
        <w:spacing w:before="0" w:after="0"/>
        <w:jc w:val="center"/>
        <w:rPr>
          <w:rFonts w:ascii="Times New Roman" w:hAnsi="Times New Roman"/>
          <w:b/>
          <w:sz w:val="20"/>
        </w:rPr>
      </w:pPr>
      <w:r>
        <w:rPr>
          <w:rFonts w:ascii="Times New Roman" w:hAnsi="Times New Roman"/>
          <w:b/>
          <w:sz w:val="20"/>
        </w:rPr>
        <w:t xml:space="preserve">(503) 268-8000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40" w:after="0"/>
        <w:jc w:val="center"/>
        <w:rPr>
          <w:rFonts w:ascii="Times New Roman" w:hAnsi="Times New Roman"/>
          <w:b/>
          <w:sz w:val="20"/>
        </w:rPr>
      </w:pPr>
      <w:r>
        <w:rPr>
          <w:rFonts w:ascii="Times New Roman" w:hAnsi="Times New Roman"/>
          <w:b/>
          <w:sz w:val="20"/>
        </w:rPr>
        <w:t xml:space="preserve">Tony Jeffries </w:t>
      </w:r>
    </w:p>
    <w:p>
      <w:pPr>
        <w:pStyle w:val="TextBody"/>
        <w:bidi w:val="0"/>
        <w:spacing w:before="0" w:after="0"/>
        <w:jc w:val="center"/>
        <w:rPr>
          <w:rFonts w:ascii="Times New Roman" w:hAnsi="Times New Roman"/>
          <w:b/>
          <w:sz w:val="20"/>
        </w:rPr>
      </w:pPr>
      <w:r>
        <w:rPr>
          <w:rFonts w:ascii="Times New Roman" w:hAnsi="Times New Roman"/>
          <w:b/>
          <w:sz w:val="20"/>
        </w:rPr>
        <w:t xml:space="preserve">Amanda N. Urquiza </w:t>
      </w:r>
    </w:p>
    <w:p>
      <w:pPr>
        <w:pStyle w:val="TextBody"/>
        <w:bidi w:val="0"/>
        <w:spacing w:before="0" w:after="0"/>
        <w:jc w:val="center"/>
        <w:rPr>
          <w:rFonts w:ascii="Times New Roman" w:hAnsi="Times New Roman"/>
          <w:b/>
          <w:sz w:val="20"/>
        </w:rPr>
      </w:pPr>
      <w:r>
        <w:rPr>
          <w:rFonts w:ascii="Times New Roman" w:hAnsi="Times New Roman"/>
          <w:b/>
          <w:sz w:val="20"/>
        </w:rPr>
        <w:t xml:space="preserve">Wilson Sonsini Goodrich &amp; Rosati </w:t>
      </w:r>
    </w:p>
    <w:p>
      <w:pPr>
        <w:pStyle w:val="TextBody"/>
        <w:bidi w:val="0"/>
        <w:spacing w:before="0" w:after="0"/>
        <w:jc w:val="center"/>
        <w:rPr>
          <w:rFonts w:ascii="Times New Roman" w:hAnsi="Times New Roman"/>
          <w:b/>
          <w:sz w:val="20"/>
        </w:rPr>
      </w:pPr>
      <w:r>
        <w:rPr>
          <w:rFonts w:ascii="Times New Roman" w:hAnsi="Times New Roman"/>
          <w:b/>
          <w:sz w:val="20"/>
        </w:rPr>
        <w:t xml:space="preserve">Professional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650 Page Mill Road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California 94304 </w:t>
      </w:r>
    </w:p>
    <w:p>
      <w:pPr>
        <w:pStyle w:val="TextBody"/>
        <w:bidi w:val="0"/>
        <w:spacing w:before="0" w:after="0"/>
        <w:jc w:val="center"/>
        <w:rPr>
          <w:rFonts w:ascii="Times New Roman" w:hAnsi="Times New Roman"/>
          <w:b/>
          <w:sz w:val="20"/>
        </w:rPr>
      </w:pPr>
      <w:r>
        <w:rPr>
          <w:rFonts w:ascii="Times New Roman" w:hAnsi="Times New Roman"/>
          <w:b/>
          <w:sz w:val="20"/>
        </w:rPr>
        <w:t xml:space="preserve">(650) 493-9300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7"/>
        </w:rPr>
      </w:pPr>
      <w:r>
        <w:rPr>
          <w:rFonts w:ascii="Times New Roman" w:hAnsi="Times New Roman"/>
          <w:b/>
          <w:sz w:val="17"/>
        </w:rPr>
        <w:t>Approximate date of commencement of proposed sale to the public</w:t>
      </w:r>
      <w:r>
        <w:rPr>
          <w:rFonts w:ascii="Times New Roman" w:hAnsi="Times New Roman"/>
          <w:sz w:val="17"/>
        </w:rPr>
        <w:t xml:space="preserve">: From time to time after the effective date of the registration statement.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01265" cy="4514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1265" cy="4514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Lattice Semiconductor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stockholders to be named in a supplement to this prospectus may from time to time offer or sell shares of our common stock. To the extent that any selling stockholders resell any securities, the selling stockholders may be required to provide you with this prospectus and a prospectus supplement identifying and containing specific information about the selling stockholders and the amount and terms of the securities being offered. We will not receive any proceeds from the sale of our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“LSCC.” Each prospectus supplement will indicate whether the securities offered thereby will be listed on any securities exchange. </w:t>
      </w:r>
    </w:p>
    <w:p>
      <w:pPr>
        <w:pStyle w:val="TextBody"/>
        <w:bidi w:val="0"/>
        <w:spacing w:before="240" w:after="0"/>
        <w:jc w:val="left"/>
        <w:rPr/>
      </w:pPr>
      <w:r>
        <w:rPr>
          <w:rFonts w:ascii="Times New Roman" w:hAnsi="Times New Roman"/>
          <w:b/>
          <w:sz w:val="24"/>
        </w:rPr>
        <w:t>Investing in our securities involves risks. Please carefully read the information under the headings “</w:t>
      </w:r>
      <w:hyperlink w:anchor="toc79858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“Item 1A—Risk Factors” of our most recent Annual Report on Form 10-K and subsequent Quarterly Reports on Form 10-Q that are incorporated by reference in this prospectus, before making a decision to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13,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4">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6">
              <w:r>
                <w:rPr>
                  <w:rStyle w:val="InternetLink"/>
                  <w:rFonts w:ascii="Times New Roman" w:hAnsi="Times New Roman"/>
                  <w:sz w:val="20"/>
                </w:rPr>
                <w:t>Selling Stockholders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9">
              <w:r>
                <w:rPr>
                  <w:rStyle w:val="InternetLink"/>
                  <w:rFonts w:ascii="Times New Roman" w:hAnsi="Times New Roman"/>
                  <w:sz w:val="20"/>
                </w:rPr>
                <w:t>Description of Depositary Shares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0">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1">
              <w:r>
                <w:rPr>
                  <w:rStyle w:val="InternetLink"/>
                  <w:rFonts w:ascii="Times New Roman" w:hAnsi="Times New Roman"/>
                  <w:sz w:val="20"/>
                </w:rPr>
                <w:t>Description of Subscription Rights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2">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3">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4">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5">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6">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7">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79858_18">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7985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Under this shelf registration process, we or the selling stockholders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may be offered. Each time we or the selling stockholders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79858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and the documents incorporated by reference herein, including the matters set forth in the section titled “Risk Factors” and the financial statements and related notes and other information that we incorporate by reference herein, including our most recent Annual Report on Form 10-K and our subsequent Quarterly Reports on Form 10-Q. Unless the context indicates otherwise, references in this prospectus to “Lattice Semiconductor Corporation,” “Lattice,” “we,” “our” and “us” refer, collectively, to Lattice Semiconductor Corporation, a Delaware corporation, and its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Lattice develops technologies that we monetize through differentiated programmable logic semiconductor products, silicon-enabling products, system solutions, design services, and technology licenses. Lattice is the low power programmable leader. We solve customer problems across the network, from the Edge to the Cloud, in the Compute, Communications, Industrial, and Embedded markets. Our technology, long-standing relationships, and commitment to world-class support helps our customers quickly and easily unleash their innovation to create a smart, secure, and connected world.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Lattice has focused its strategy on delivering programmable logic products and related solutions based on low power, small size, and ease of use. We also serve our customers with intellectual property (“IP”) licensing and various other services. Our product development activities include new proprietary products, advanced packaging, existing product enhancements, software development tools, soft IP, and system solutions for high-growth applications such as Edge Artificial Intelligence, wireless and wireline infrastructure, platform security, and factory automation.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Lattice was incorporated in Oregon in 1983 and reincorporated in Delaware in 1985. Our principal executive offices are located at 5555 NE Moore Court, Hillsboro, Oregon 97124, and our telephone number is (503) 268-8000.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 website at </w:t>
      </w:r>
      <w:r>
        <w:rPr>
          <w:rFonts w:ascii="Times New Roman" w:hAnsi="Times New Roman"/>
          <w:sz w:val="20"/>
          <w:u w:val="single"/>
          <w:bdr w:val="single" w:sz="8" w:space="1" w:color="000000"/>
        </w:rPr>
        <w:t>https://www.latticesemi.com/</w:t>
      </w:r>
      <w:r>
        <w:rPr>
          <w:rFonts w:ascii="Times New Roman" w:hAnsi="Times New Roman"/>
          <w:sz w:val="20"/>
          <w:bdr w:val="single" w:sz="8" w:space="1" w:color="000000"/>
        </w:rPr>
        <w:t xml:space="preserve"> where general information about us is available. We are not incorporating the contents of, or information accessible through, the website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That May Be Offered 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or sell common stock, preferred stock, depositary shares, debt securities, warrants, subscription rights, purchase contracts and units in one or more offerings and in any combination, and the selling stockholders to be named in a supplement to this prospectus may from time to time offer and sell shares of our common stock. Each time securities are offered with this prospectus, we will provide a prospectus supplement that will describe the specific amounts, prices and terms of the securities being offered and the net proceeds we expect to receive from that sale. We will not receive any proceeds from the sale of our common stock by selling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 the selling stockholders may offer shares of our common stock, par value $0.01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Depositary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warrants for the purchase of common stock, preferred stock, debt securities or depositary shares. We may offer warrants independently or together with other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subscription rights to purchase our common stock, preferred stock, debt securities, depositary shares, warrants or units consisting of some or all of these securities. These subscription rights may be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independently or together with any other security offered hereby and may or may not be transferable by the stockholder receiving the subscription rights in such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Purchase Contracts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purchase contracts, including contracts obligating holders or us to purchase from the other a specific or variable number of securities at a future date or 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units comprised of one or more of the other classes of securities described in this prospectus in any combination. Each unit will be issued so that the holder of the unit is also the holder of each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79858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in and incorporated by reference in the prospectus supplement or appearing in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securities to decline, resulting in a loss of all or part of your investment. Please also read carefully the section below 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79858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“Business,” “Risk Factors” and “Management’s Discussion and Analysis of Financial Condition and Results of Operations” and include statements regarding the intent, belief or current expectations of our management that are subject to known and unknown risks, uncertainties and assumptions including factors detailed in each prospectus supplement, and those risks disclosed in the section entitled “Risk Factors” in our most recent Annual Report on Form 10-K and our subsequent Quarterly Reports on Form 10-Q filed with the SEC.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or in the information incorporated by reference herein after we distribute this prospectus, whether as a result of any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as of the date of this prospectus, actual results may differ from the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7985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to us from the sale of our securities under this prospectus. Unless otherwise provided in the applicable prospectus supplement, we currently expect to use the net proceeds that we receive from any offerings for working capital and other general corporate purposes. We cannot specify with certainty all of the particular uses for the net proceeds to be received upon the closing of any offerings. Pending these uses, we may invest the net proceeds of any offering in short- and intermediate-term, interest-bearing obligations, investment-grade instruments, certificates of deposit or direct or guaranteed obligations of the U.S. government.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our securities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79858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possible resale by certain of our stockholders, who we refer to in this prospectus as the “selling stockholders,” of shares of our common stock that were issued and outstanding prior to the original date of filing of the registration statement of which this prospectus forms a part. Information about any selling stockholders, where applicable, including their identities and the number of shares of common stock to be registered on their behalf, will be set forth in a prospectus supplement, in a post-effective amendment, or in filings we make with the SEC under the Exchange Act that are incorporated by reference. The selling stockholders shall not sell any shares of our common stock pursuant to this prospectus until we have identified such selling stockholders and the shares being offered for resale by such selling stockholders in a prospectus supplement to this prospectus or post-effective amendment to the registration statement of which this prospectus forms a part, in either case filed with the SEC. However, the selling stockholders may sell or transfer all or a portion of their shares of our common stock pursuant to any available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79858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4.1 to our Annual Report on Form 10-K for the fiscal year ended December 30, 2023, filed with the SEC on February 16,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79858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defer payment of interest and the maximum length of any such deferral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and 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more than one trustee or a different trustee, the identity of the trustee and, if not the trustee, the identity of each security registrar, paying agent or authenticating agent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titled “—Global Debt Securities and Book-Entry System,” below, book-entry debt securities will not be issuable in certificated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Debt Securities and 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Each global debt security representing book-entry debt securities will be deposited with, or on behalf of, the depositary, and registered in the name of the depositary or a nominee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below),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heading“—Consolidation, Merger and Sale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Defeasance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this as covenant defeasance. 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will not result in a breach or violation of, or constitute a default under the indenture or any other agreement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applicable series of debt securities shall have occurred or is continuing on the date of such deposit;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79858_9"/>
      <w:bookmarkEnd w:id="11"/>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79858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debt securities, preferred stock, depositary shares or common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the number of depositary shares or the number of shares of common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79858_11"/>
      <w:bookmarkEnd w:id="13"/>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common stock, preferred stock, debt securities, depositary shares, warrants or units consisting of some or all of these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common stock, preferred stock, debt securities, depositary shares, warrants or units consisting of some or all of these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79858_12"/>
      <w:bookmarkEnd w:id="14"/>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79858_13"/>
      <w:bookmarkEnd w:id="1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79858_14"/>
      <w:bookmarkEnd w:id="1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may offer and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set forth in a prospectus supplement with respect to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that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and the selling stockholders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or the selling stockholders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that they may enter into with us and the selling stockholders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other persons acting as agents will not have any responsibility in respect of the validity or performance of delayed delivery contracts.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9858_15"/>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79858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Lattice Semiconductor Corporation appearing in Lattice Semiconductor Corporation’s Annual Report (Form 10-K) for the year ended January 3, 2026, and the effectiveness of Lattice Semiconductor Corporation’s internal control over financial reporting as of January 3, 2026,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AMI TopCo, Inc. as of December 31, 2025 and 2024 (Successor), and for the year ended December 31, 2025 and the period from October 18, 2024 to December 31, 2024 (Successor periods), and the period from January 1, 2024 to October 17, 2024 (Predecessor period), have been incorporated by reference herein and in the registration statement in reliance upon the report of KPMG LLP, independent auditors, incorporated by reference herein, and upon the authority of said firm as experts in accounting and auditing. The audit report covering the December 31, 2024 consolidated financial statements refers to the acquisition of AMI US Holdings, Inc. in a business combination, effective October 17,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79858_17"/>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https://www.latticesemi.com/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79858_18"/>
      <w:bookmarkEnd w:id="2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January 3, 2026, filed with the SEC on </w:t>
            </w:r>
            <w:hyperlink r:id="rId3">
              <w:r>
                <w:rPr>
                  <w:rStyle w:val="InternetLink"/>
                  <w:rFonts w:ascii="Times New Roman" w:hAnsi="Times New Roman"/>
                  <w:sz w:val="20"/>
                </w:rPr>
                <w:t>February 13,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April 4, 2026 and July 4, 2026, filed with the SEC on </w:t>
            </w:r>
            <w:hyperlink r:id="rId4">
              <w:r>
                <w:rPr>
                  <w:rStyle w:val="InternetLink"/>
                  <w:rFonts w:ascii="Times New Roman" w:hAnsi="Times New Roman"/>
                  <w:sz w:val="20"/>
                </w:rPr>
                <w:t>May  4, 2026</w:t>
              </w:r>
            </w:hyperlink>
            <w:r>
              <w:rPr>
                <w:rFonts w:ascii="Times New Roman" w:hAnsi="Times New Roman"/>
                <w:sz w:val="20"/>
              </w:rPr>
              <w:t xml:space="preserve"> and </w:t>
            </w:r>
            <w:hyperlink r:id="rId5">
              <w:r>
                <w:rPr>
                  <w:rStyle w:val="InternetLink"/>
                  <w:rFonts w:ascii="Times New Roman" w:hAnsi="Times New Roman"/>
                  <w:sz w:val="20"/>
                </w:rPr>
                <w:t>August 4,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incorporated by reference into our Annual Report on Form 10-K for the year ended January  3, 2026 from our Definitive Proxy Statement on Schedule 14A (other than information furnished rather than filed), filed with the SEC on </w:t>
            </w:r>
            <w:hyperlink r:id="rId6">
              <w:r>
                <w:rPr>
                  <w:rStyle w:val="InternetLink"/>
                  <w:rFonts w:ascii="Times New Roman" w:hAnsi="Times New Roman"/>
                  <w:sz w:val="20"/>
                </w:rPr>
                <w:t>March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March 11, 2026</w:t>
              </w:r>
            </w:hyperlink>
            <w:r>
              <w:rPr>
                <w:rFonts w:ascii="Times New Roman" w:hAnsi="Times New Roman"/>
                <w:sz w:val="20"/>
              </w:rPr>
              <w:t xml:space="preserve">, </w:t>
            </w:r>
            <w:hyperlink r:id="rId8">
              <w:r>
                <w:rPr>
                  <w:rStyle w:val="InternetLink"/>
                  <w:rFonts w:ascii="Times New Roman" w:hAnsi="Times New Roman"/>
                  <w:sz w:val="20"/>
                </w:rPr>
                <w:t>May  4, 2026</w:t>
              </w:r>
            </w:hyperlink>
            <w:r>
              <w:rPr>
                <w:rFonts w:ascii="Times New Roman" w:hAnsi="Times New Roman"/>
                <w:sz w:val="20"/>
              </w:rPr>
              <w:t xml:space="preserve">, </w:t>
            </w:r>
            <w:hyperlink r:id="rId9">
              <w:r>
                <w:rPr>
                  <w:rStyle w:val="InternetLink"/>
                  <w:rFonts w:ascii="Times New Roman" w:hAnsi="Times New Roman"/>
                  <w:sz w:val="20"/>
                </w:rPr>
                <w:t>May  5, 2026</w:t>
              </w:r>
            </w:hyperlink>
            <w:r>
              <w:rPr>
                <w:rFonts w:ascii="Times New Roman" w:hAnsi="Times New Roman"/>
                <w:sz w:val="20"/>
              </w:rPr>
              <w:t xml:space="preserve">, </w:t>
            </w:r>
            <w:hyperlink r:id="rId10">
              <w:r>
                <w:rPr>
                  <w:rStyle w:val="InternetLink"/>
                  <w:rFonts w:ascii="Times New Roman" w:hAnsi="Times New Roman"/>
                  <w:sz w:val="20"/>
                </w:rPr>
                <w:t>June  30, 2026</w:t>
              </w:r>
            </w:hyperlink>
            <w:r>
              <w:rPr>
                <w:rFonts w:ascii="Times New Roman" w:hAnsi="Times New Roman"/>
                <w:sz w:val="20"/>
              </w:rPr>
              <w:t xml:space="preserve">, </w:t>
            </w:r>
            <w:hyperlink r:id="rId11">
              <w:r>
                <w:rPr>
                  <w:rStyle w:val="InternetLink"/>
                  <w:rFonts w:ascii="Times New Roman" w:hAnsi="Times New Roman"/>
                  <w:sz w:val="20"/>
                </w:rPr>
                <w:t>July  27, 2026</w:t>
              </w:r>
            </w:hyperlink>
            <w:r>
              <w:rPr>
                <w:rFonts w:ascii="Times New Roman" w:hAnsi="Times New Roman"/>
                <w:sz w:val="20"/>
              </w:rPr>
              <w:t xml:space="preserve"> and </w:t>
            </w:r>
            <w:hyperlink r:id="rId12">
              <w:r>
                <w:rPr>
                  <w:rStyle w:val="InternetLink"/>
                  <w:rFonts w:ascii="Times New Roman" w:hAnsi="Times New Roman"/>
                  <w:sz w:val="20"/>
                </w:rPr>
                <w:t>October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capital stock contained in Exhibit  </w:t>
            </w:r>
            <w:hyperlink r:id="rId13">
              <w:r>
                <w:rPr>
                  <w:rStyle w:val="InternetLink"/>
                  <w:rFonts w:ascii="Times New Roman" w:hAnsi="Times New Roman"/>
                  <w:sz w:val="20"/>
                </w:rPr>
                <w:t>4.1</w:t>
              </w:r>
            </w:hyperlink>
            <w:r>
              <w:rPr>
                <w:rFonts w:ascii="Times New Roman" w:hAnsi="Times New Roman"/>
                <w:sz w:val="20"/>
              </w:rPr>
              <w:t xml:space="preserve"> to our Annual Report on Form 10-K for the fiscal year ended December  30, 2023, filed with the SEC on </w:t>
            </w:r>
            <w:hyperlink r:id="rId14">
              <w:r>
                <w:rPr>
                  <w:rStyle w:val="InternetLink"/>
                  <w:rFonts w:ascii="Times New Roman" w:hAnsi="Times New Roman"/>
                  <w:sz w:val="20"/>
                </w:rPr>
                <w:t>February 16,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Lattice Semiconductor Corporation </w:t>
      </w:r>
    </w:p>
    <w:p>
      <w:pPr>
        <w:pStyle w:val="TextBody"/>
        <w:bidi w:val="0"/>
        <w:spacing w:before="0" w:after="0"/>
        <w:jc w:val="center"/>
        <w:rPr>
          <w:rFonts w:ascii="Times New Roman" w:hAnsi="Times New Roman"/>
          <w:sz w:val="20"/>
        </w:rPr>
      </w:pPr>
      <w:r>
        <w:rPr>
          <w:rFonts w:ascii="Times New Roman" w:hAnsi="Times New Roman"/>
          <w:sz w:val="20"/>
        </w:rPr>
        <w:t xml:space="preserve">5555 NE Moore Court </w:t>
      </w:r>
    </w:p>
    <w:p>
      <w:pPr>
        <w:pStyle w:val="TextBody"/>
        <w:bidi w:val="0"/>
        <w:spacing w:before="0" w:after="0"/>
        <w:jc w:val="center"/>
        <w:rPr>
          <w:rFonts w:ascii="Times New Roman" w:hAnsi="Times New Roman"/>
          <w:sz w:val="20"/>
        </w:rPr>
      </w:pPr>
      <w:r>
        <w:rPr>
          <w:rFonts w:ascii="Times New Roman" w:hAnsi="Times New Roman"/>
          <w:sz w:val="20"/>
        </w:rPr>
        <w:t xml:space="preserve">Hillsboro, Oregon 97124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(408) 626-6120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accompanying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fees and expenses to be paid by us in connection with the issuance and distribution of the securities being registered, other than discounts and commissions to be paid to agents or underwriters. All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44"/>
        <w:gridCol w:w="443"/>
        <w:gridCol w:w="167"/>
        <w:gridCol w:w="979"/>
        <w:gridCol w:w="206"/>
      </w:tblGrid>
      <w:tr>
        <w:trPr/>
        <w:tc>
          <w:tcPr>
            <w:tcW w:w="5144"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144"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to be Paid</w:t>
            </w:r>
          </w:p>
        </w:tc>
        <w:tc>
          <w:tcPr>
            <w:tcW w:w="206" w:type="dxa"/>
            <w:tcBorders/>
            <w:vAlign w:val="bottom"/>
          </w:tcPr>
          <w:p>
            <w:pPr>
              <w:pStyle w:val="TableContents"/>
              <w:bidi w:val="0"/>
              <w:spacing w:before="0" w:after="283"/>
              <w:jc w:val="left"/>
              <w:rPr/>
            </w:pPr>
            <w:r>
              <w:rPr/>
              <w:t> </w:t>
            </w:r>
          </w:p>
        </w:tc>
      </w:tr>
      <w:tr>
        <w:trPr/>
        <w:tc>
          <w:tcPr>
            <w:tcW w:w="5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listing fee</w:t>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r>
      <w:tr>
        <w:trPr/>
        <w:tc>
          <w:tcPr>
            <w:tcW w:w="5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r>
      <w:tr>
        <w:trPr/>
        <w:tc>
          <w:tcPr>
            <w:tcW w:w="5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r>
      <w:tr>
        <w:trPr/>
        <w:tc>
          <w:tcPr>
            <w:tcW w:w="5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Trustee’s fees and expenses</w:t>
            </w:r>
          </w:p>
        </w:tc>
        <w:tc>
          <w:tcPr>
            <w:tcW w:w="4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r>
      <w:tr>
        <w:trPr/>
        <w:tc>
          <w:tcPr>
            <w:tcW w:w="5144"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r>
      <w:tr>
        <w:trPr/>
        <w:tc>
          <w:tcPr>
            <w:tcW w:w="5144"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r>
      <w:tr>
        <w:trPr/>
        <w:tc>
          <w:tcPr>
            <w:tcW w:w="5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r>
      <w:tr>
        <w:trPr/>
        <w:tc>
          <w:tcPr>
            <w:tcW w:w="5144"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registration fee is being deferred pursuant to Rules 456(b) and 457(r) of the Securities Act. </w:t>
            </w:r>
          </w:p>
        </w:tc>
      </w:tr>
    </w:tbl>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General Corporation Law of the State of Delaware (the “DGCL”) provides that a corporation may indemnify directors and officers as well as other employees and agents against expenses (including attorneys’ fees), judgments, fines and amounts paid in settlement actually and reasonably incurred in connection with specified actions, suits or proceedings, whether civil, criminal, administrative or investigative (other than an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and the statute requires a court determination that the person is fairly and reasonably entitled to indemnity for such expenses before there can be any indemnification where the person seeking indemnification has been found liable to the corporation. The statute provides that the statutory right of indemnification is not exclusive of other indemnification that may be granted by a corporation’s charter, bylaws, disinterested director vote, stockholder vote,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(1) with respect to a director or officer, for any breach of the director’s or officer’s duty of loyalty to the corporation or its stockholders, (2) with respect to a director or officer, for acts or omissions not in good faith or which involve intentional misconduct or a knowing violation of law, (3) with respect to a director, for payments of unlawful dividends or unlawful stock repurchases or redemptions, (4) with respect to a director or officer, for any transaction from which the director or officer derived an improper personal benefit, or (5) with respect to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an unlawful payment of dividends or an unlawful stock repurchase or redemption may be held liable,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within 6 years after paying the unlawful dividend or after the unlawful stock repurchase or redemption,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Restated Certificate of Incorporation limits, to the maximum extent permitted by the DGCL, the personal liability of directors for monetary damages for their conduct as a director. The Registrant’s Bylaws, as amended and restated (the “Bylaws”), provide that the Registrant (1) shall indemnify and provide advancement of expenses to its directors and officers and to individuals serving at the request of the Registrant as directors of another corporation, partnership, limited liability company, joint venture, trust or other enterprise (including service with respect to employee benefit plans maintained or sponsored by the Registrant) and (2) may indemnify and provide advancement to its employees and other agents, in each case, to the fullest extent permitted by law, against expenses, liabilities and loss, including attorneys’ fees, judgments, fines, or penalties and amounts paid in settlement, reasonably incurred or suffered in connection with any proceeding arising out of their status as directors, officers, employees or agents, as applicable. The Bylaws also allow the Registrant to purchase and maintain insurance on behalf of any person who is or was one of the Registrant’s directors, officers, employees or agents against any expense, liability or loss, whether or not the Registrant would have the power to indemnify such person against such liability under the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also entered into indemnification agreements with directors, officers and certain employees, under which, among other things, the Registrant has agreed to indemnify the Registrant’s directors, officers and certain employees, subject to certain conditions and limitations, for certain amounts, including attorneys’ fees, judgments, fines, penalties, settlement amounts and any other amounts reasonably incurred or suffered by any such person in any threatened, pending or completed action, suit or proceeding, whether civil, criminal, administrative or investigative, including any action by or in the right of the Registrant, to which such person is, was or at any time becomes a party, or is threatened to be made a party, by reason of the fact that such person is, was or at any time becomes a director, officer, employee or agent of the Registrant or of any other company or enterprise with respect to which the person served in such capacity at the request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and expects to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to be filed as Exhibit 1.1 to this registration statement may provide for indemnification by the underwriters of us and our directors and officers for certain liabilities arising under the Securities Act or the Exchange 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
        <w:gridCol w:w="261"/>
        <w:gridCol w:w="4905"/>
        <w:gridCol w:w="261"/>
        <w:gridCol w:w="614"/>
        <w:gridCol w:w="261"/>
        <w:gridCol w:w="885"/>
        <w:gridCol w:w="261"/>
        <w:gridCol w:w="797"/>
        <w:gridCol w:w="261"/>
        <w:gridCol w:w="1019"/>
      </w:tblGrid>
      <w:tr>
        <w:trPr/>
        <w:tc>
          <w:tcPr>
            <w:tcW w:w="68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490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098" w:type="dxa"/>
            <w:gridSpan w:val="7"/>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r>
      <w:tr>
        <w:trPr/>
        <w:tc>
          <w:tcPr>
            <w:tcW w:w="6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261" w:type="dxa"/>
            <w:tcBorders/>
            <w:vAlign w:val="bottom"/>
          </w:tcPr>
          <w:p>
            <w:pPr>
              <w:pStyle w:val="TableContents"/>
              <w:bidi w:val="0"/>
              <w:spacing w:before="0" w:after="283"/>
              <w:jc w:val="left"/>
              <w:rPr/>
            </w:pPr>
            <w:r>
              <w:rPr/>
              <w:t>  </w:t>
            </w:r>
          </w:p>
        </w:tc>
        <w:tc>
          <w:tcPr>
            <w:tcW w:w="49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261" w:type="dxa"/>
            <w:tcBorders/>
            <w:vAlign w:val="bottom"/>
          </w:tcPr>
          <w:p>
            <w:pPr>
              <w:pStyle w:val="TableContents"/>
              <w:bidi w:val="0"/>
              <w:spacing w:before="0" w:after="283"/>
              <w:jc w:val="left"/>
              <w:rPr/>
            </w:pPr>
            <w:r>
              <w:rPr/>
              <w:t>  </w:t>
            </w:r>
          </w:p>
        </w:tc>
        <w:tc>
          <w:tcPr>
            <w:tcW w:w="614"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261" w:type="dxa"/>
            <w:tcBorders/>
            <w:vAlign w:val="bottom"/>
          </w:tcPr>
          <w:p>
            <w:pPr>
              <w:pStyle w:val="TableContents"/>
              <w:bidi w:val="0"/>
              <w:spacing w:before="0" w:after="283"/>
              <w:jc w:val="left"/>
              <w:rPr/>
            </w:pPr>
            <w:r>
              <w:rPr/>
              <w:t>  </w:t>
            </w:r>
          </w:p>
        </w:tc>
        <w:tc>
          <w:tcPr>
            <w:tcW w:w="88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61" w:type="dxa"/>
            <w:tcBorders/>
            <w:vAlign w:val="bottom"/>
          </w:tcPr>
          <w:p>
            <w:pPr>
              <w:pStyle w:val="TableContents"/>
              <w:bidi w:val="0"/>
              <w:spacing w:before="0" w:after="283"/>
              <w:jc w:val="left"/>
              <w:rPr/>
            </w:pPr>
            <w:r>
              <w:rPr/>
              <w:t>  </w:t>
            </w:r>
          </w:p>
        </w:tc>
        <w:tc>
          <w:tcPr>
            <w:tcW w:w="797"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261" w:type="dxa"/>
            <w:tcBorders/>
            <w:vAlign w:val="bottom"/>
          </w:tcPr>
          <w:p>
            <w:pPr>
              <w:pStyle w:val="TableContents"/>
              <w:bidi w:val="0"/>
              <w:spacing w:before="0" w:after="283"/>
              <w:jc w:val="left"/>
              <w:rPr/>
            </w:pPr>
            <w:r>
              <w:rPr/>
              <w:t>  </w:t>
            </w:r>
          </w:p>
        </w:tc>
        <w:tc>
          <w:tcPr>
            <w:tcW w:w="1019"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1.1*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Underwriting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3.1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r:id="rId15">
              <w:r>
                <w:rPr>
                  <w:rStyle w:val="InternetLink"/>
                </w:rPr>
                <w:t xml:space="preserve">The Company’s Restated Certificate of Incorporation, as amended on June 4, 2009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center"/>
              <w:rPr/>
            </w:pPr>
            <w:r>
              <w:rPr/>
              <w:t>8-K</w:t>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center"/>
              <w:rPr/>
            </w:pPr>
            <w:r>
              <w:rPr/>
              <w:t>3.1</w:t>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center"/>
              <w:rPr/>
            </w:pPr>
            <w:r>
              <w:rPr/>
              <w:t>6/4/2009</w:t>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3.2</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r:id="rId16">
              <w:r>
                <w:rPr>
                  <w:rStyle w:val="InternetLink"/>
                </w:rPr>
                <w:t xml:space="preserve">The Company’s Bylaws, as amended as of December 14, 2023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center"/>
              <w:rPr/>
            </w:pPr>
            <w:r>
              <w:rPr/>
              <w:t>8-K</w:t>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center"/>
              <w:rPr/>
            </w:pPr>
            <w:r>
              <w:rPr/>
              <w:t>3.1</w:t>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center"/>
              <w:rPr/>
            </w:pPr>
            <w:r>
              <w:rPr/>
              <w:t>12/15/2023</w:t>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r:id="rId17">
              <w:r>
                <w:rPr>
                  <w:rStyle w:val="InternetLink"/>
                </w:rPr>
                <w:t xml:space="preserve">Description of Securities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center"/>
              <w:rPr/>
            </w:pPr>
            <w:r>
              <w:rPr/>
              <w:t>10-K</w:t>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center"/>
              <w:rPr/>
            </w:pPr>
            <w:r>
              <w:rPr/>
              <w:t>4.1</w:t>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center"/>
              <w:rPr/>
            </w:pPr>
            <w:r>
              <w:rPr/>
              <w:t>2/16/2024</w:t>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4.2*</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Preferred Stock Certificate</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4.3</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43.htm">
              <w:r>
                <w:rPr>
                  <w:rStyle w:val="InternetLink"/>
                </w:rPr>
                <w:t xml:space="preserve">Form of Indenture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4.4*</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Debt Security</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4.5*</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Deposit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4.6*</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Warrant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4.7*</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Subscription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4.8*</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Purchase Contract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4.9*</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Unit Agreement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4.10*</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of Unit</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 </w:t>
            </w:r>
            <w:r>
              <w:rPr/>
              <w:t>5.1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51.htm">
              <w:r>
                <w:rPr>
                  <w:rStyle w:val="InternetLink"/>
                </w:rPr>
                <w:t xml:space="preserve">Opinion of Wilson Sonsini Goodrich &amp; Rosati, Professional Corporation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23.1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231.htm">
              <w:r>
                <w:rPr>
                  <w:rStyle w:val="InternetLink"/>
                </w:rPr>
                <w:t xml:space="preserve">Consent of Ernst &amp; Young LLP, Independent Registered Public Accounting Firm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23.2</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232.htm">
              <w:r>
                <w:rPr>
                  <w:rStyle w:val="InternetLink"/>
                </w:rPr>
                <w:t xml:space="preserve">Consent of KPMG LLP, independent auditors of AMI TopCo, Inc.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23.3</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51.htm">
              <w:r>
                <w:rPr>
                  <w:rStyle w:val="InternetLink"/>
                </w:rPr>
                <w:t xml:space="preserve">Consent of Wilson Sonsini Goodrich &amp; Rosati, Professional Corporation (included in the opinion filed as Exhibit 5.1 to this Registration Statement)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24.1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sig">
              <w:r>
                <w:rPr>
                  <w:rStyle w:val="InternetLink"/>
                </w:rPr>
                <w:t xml:space="preserve">Power of Attorney (included on the signature page to this Registration Statement)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25.1**</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r>
              <w:rPr/>
              <w:t>Form T-1 Statement of Eligibility of Trustee for Indenture under the Trust Indenture Act of 1939</w:t>
            </w:r>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80"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1146" w:type="dxa"/>
            <w:gridSpan w:val="2"/>
            <w:tcBorders/>
            <w:vAlign w:val="center"/>
          </w:tcPr>
          <w:p>
            <w:pPr>
              <w:pStyle w:val="TableContents"/>
              <w:bidi w:val="0"/>
              <w:spacing w:before="0" w:after="283"/>
              <w:jc w:val="left"/>
              <w:rPr>
                <w:sz w:val="4"/>
                <w:szCs w:val="4"/>
              </w:rPr>
            </w:pPr>
            <w:r>
              <w:rPr>
                <w:sz w:val="4"/>
                <w:szCs w:val="4"/>
              </w:rPr>
            </w:r>
          </w:p>
        </w:tc>
        <w:tc>
          <w:tcPr>
            <w:tcW w:w="1058"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tcPr>
          <w:p>
            <w:pPr>
              <w:pStyle w:val="TableContents"/>
              <w:bidi w:val="0"/>
              <w:spacing w:before="0" w:after="283"/>
              <w:jc w:val="left"/>
              <w:rPr/>
            </w:pPr>
            <w:r>
              <w:rPr/>
              <w:t>107</w:t>
            </w:r>
          </w:p>
        </w:tc>
        <w:tc>
          <w:tcPr>
            <w:tcW w:w="261" w:type="dxa"/>
            <w:tcBorders/>
            <w:vAlign w:val="bottom"/>
          </w:tcPr>
          <w:p>
            <w:pPr>
              <w:pStyle w:val="TableContents"/>
              <w:bidi w:val="0"/>
              <w:spacing w:before="0" w:after="283"/>
              <w:jc w:val="left"/>
              <w:rPr/>
            </w:pPr>
            <w:r>
              <w:rPr/>
              <w:t>  </w:t>
            </w:r>
          </w:p>
        </w:tc>
        <w:tc>
          <w:tcPr>
            <w:tcW w:w="4905" w:type="dxa"/>
            <w:tcBorders/>
          </w:tcPr>
          <w:p>
            <w:pPr>
              <w:pStyle w:val="TableContents"/>
              <w:bidi w:val="0"/>
              <w:spacing w:before="0" w:after="283"/>
              <w:jc w:val="left"/>
              <w:rPr/>
            </w:pPr>
            <w:hyperlink w:anchor="d79858dexfilingfees.htm">
              <w:r>
                <w:rPr>
                  <w:rStyle w:val="InternetLink"/>
                </w:rPr>
                <w:t xml:space="preserve">Filing Fee Table </w:t>
              </w:r>
            </w:hyperlink>
          </w:p>
        </w:tc>
        <w:tc>
          <w:tcPr>
            <w:tcW w:w="26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center"/>
              <w:rPr/>
            </w:pPr>
            <w:r>
              <w:rPr/>
              <w:t>X</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(b)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Hillsboro, State of Oregon, on October 13, 2026. </w:t>
      </w:r>
    </w:p>
    <w:p>
      <w:pPr>
        <w:pStyle w:val="TextBody"/>
        <w:bidi w:val="0"/>
        <w:spacing w:before="0" w:after="0"/>
        <w:jc w:val="left"/>
        <w:rPr/>
      </w:pPr>
      <w:r>
        <w:rPr/>
        <w:t> </w:t>
      </w:r>
    </w:p>
    <w:tbl>
      <w:tblPr>
        <w:tblW w:w="5315" w:type="dxa"/>
        <w:jc w:val="right"/>
        <w:tblInd w:w="0" w:type="dxa"/>
        <w:tblLayout w:type="fixed"/>
        <w:tblCellMar>
          <w:top w:w="0" w:type="dxa"/>
          <w:left w:w="0" w:type="dxa"/>
          <w:bottom w:w="0" w:type="dxa"/>
          <w:right w:w="0" w:type="dxa"/>
        </w:tblCellMar>
      </w:tblPr>
      <w:tblGrid>
        <w:gridCol w:w="1218"/>
        <w:gridCol w:w="239"/>
        <w:gridCol w:w="3858"/>
      </w:tblGrid>
      <w:tr>
        <w:trPr/>
        <w:tc>
          <w:tcPr>
            <w:tcW w:w="1218"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tcPr>
          <w:p>
            <w:pPr>
              <w:pStyle w:val="TableContents"/>
              <w:bidi w:val="0"/>
              <w:spacing w:before="0" w:after="283"/>
              <w:jc w:val="left"/>
              <w:rPr>
                <w:b/>
              </w:rPr>
            </w:pPr>
            <w:r>
              <w:rPr>
                <w:b/>
              </w:rPr>
              <w:t>LATTICE SEMICONDUCTOR CORPORATION</w:t>
            </w:r>
          </w:p>
        </w:tc>
      </w:tr>
      <w:tr>
        <w:trPr>
          <w:trHeight w:val="240" w:hRule="atLeast"/>
        </w:trPr>
        <w:tc>
          <w:tcPr>
            <w:tcW w:w="1218" w:type="dxa"/>
            <w:tcBorders/>
            <w:vAlign w:val="center"/>
          </w:tcPr>
          <w:p>
            <w:pPr>
              <w:pStyle w:val="TableContents"/>
              <w:bidi w:val="0"/>
              <w:spacing w:before="0" w:after="283"/>
              <w:jc w:val="left"/>
              <w:rPr>
                <w:sz w:val="4"/>
                <w:szCs w:val="4"/>
              </w:rPr>
            </w:pPr>
            <w:r>
              <w:rPr>
                <w:sz w:val="4"/>
                <w:szCs w:val="4"/>
              </w:rPr>
            </w:r>
          </w:p>
        </w:tc>
        <w:tc>
          <w:tcPr>
            <w:tcW w:w="4097"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left"/>
              <w:rPr/>
            </w:pPr>
            <w:r>
              <w:rPr/>
              <w:t>By:</w:t>
            </w:r>
          </w:p>
        </w:tc>
        <w:tc>
          <w:tcPr>
            <w:tcW w:w="239" w:type="dxa"/>
            <w:tcBorders/>
            <w:vAlign w:val="bottom"/>
          </w:tcPr>
          <w:p>
            <w:pPr>
              <w:pStyle w:val="TableContents"/>
              <w:bidi w:val="0"/>
              <w:spacing w:before="0" w:after="283"/>
              <w:jc w:val="left"/>
              <w:rPr/>
            </w:pPr>
            <w:r>
              <w:rPr/>
              <w:t> </w:t>
            </w:r>
          </w:p>
        </w:tc>
        <w:tc>
          <w:tcPr>
            <w:tcW w:w="38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i/>
                <w:sz w:val="20"/>
              </w:rPr>
              <w:t>/s/</w:t>
            </w:r>
            <w:r>
              <w:rPr>
                <w:rFonts w:ascii="Times New Roman" w:hAnsi="Times New Roman"/>
                <w:sz w:val="20"/>
              </w:rPr>
              <w:t xml:space="preserve"> Ford Tamer</w:t>
            </w:r>
          </w:p>
        </w:tc>
      </w:tr>
      <w:tr>
        <w:trPr/>
        <w:tc>
          <w:tcPr>
            <w:tcW w:w="1218"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858" w:type="dxa"/>
            <w:tcBorders/>
            <w:vAlign w:val="bottom"/>
          </w:tcPr>
          <w:p>
            <w:pPr>
              <w:pStyle w:val="TableContents"/>
              <w:bidi w:val="0"/>
              <w:spacing w:before="0" w:after="283"/>
              <w:jc w:val="left"/>
              <w:rPr/>
            </w:pPr>
            <w:r>
              <w:rPr/>
              <w:t>Ford Tamer</w:t>
            </w:r>
          </w:p>
        </w:tc>
      </w:tr>
      <w:tr>
        <w:trPr/>
        <w:tc>
          <w:tcPr>
            <w:tcW w:w="1218"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858" w:type="dxa"/>
            <w:tcBorders/>
            <w:vAlign w:val="bottom"/>
          </w:tcPr>
          <w:p>
            <w:pPr>
              <w:pStyle w:val="TableContents"/>
              <w:bidi w:val="0"/>
              <w:spacing w:before="0" w:after="283"/>
              <w:jc w:val="left"/>
              <w:rPr/>
            </w:pPr>
            <w:r>
              <w:rPr/>
              <w:t>President, Chief Executive Officer, and Director</w:t>
            </w:r>
          </w:p>
        </w:tc>
      </w:tr>
    </w:tbl>
    <w:p>
      <w:pPr>
        <w:pStyle w:val="TextBody"/>
        <w:bidi w:val="0"/>
        <w:spacing w:before="480" w:after="0"/>
        <w:jc w:val="center"/>
        <w:rPr>
          <w:rFonts w:ascii="Times New Roman" w:hAnsi="Times New Roman"/>
          <w:b/>
          <w:sz w:val="20"/>
        </w:rPr>
      </w:pPr>
      <w:bookmarkStart w:id="21" w:name="sig"/>
      <w:bookmarkEnd w:id="21"/>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Ford Tamer, Lorenzo Flores and Tracy Feanny,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87"/>
        <w:gridCol w:w="60"/>
        <w:gridCol w:w="5368"/>
        <w:gridCol w:w="98"/>
        <w:gridCol w:w="1692"/>
      </w:tblGrid>
      <w:tr>
        <w:trPr/>
        <w:tc>
          <w:tcPr>
            <w:tcW w:w="29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68"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29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60" w:type="dxa"/>
            <w:tcBorders/>
            <w:vAlign w:val="bottom"/>
          </w:tcPr>
          <w:p>
            <w:pPr>
              <w:pStyle w:val="TableContents"/>
              <w:bidi w:val="0"/>
              <w:spacing w:before="0" w:after="283"/>
              <w:jc w:val="left"/>
              <w:rPr/>
            </w:pPr>
            <w:r>
              <w:rPr/>
              <w:t> </w:t>
            </w:r>
          </w:p>
        </w:tc>
        <w:tc>
          <w:tcPr>
            <w:tcW w:w="53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98" w:type="dxa"/>
            <w:tcBorders/>
            <w:vAlign w:val="bottom"/>
          </w:tcPr>
          <w:p>
            <w:pPr>
              <w:pStyle w:val="TableContents"/>
              <w:bidi w:val="0"/>
              <w:spacing w:before="0" w:after="283"/>
              <w:jc w:val="left"/>
              <w:rPr/>
            </w:pPr>
            <w:r>
              <w:rPr/>
              <w:t> </w:t>
            </w:r>
          </w:p>
        </w:tc>
        <w:tc>
          <w:tcPr>
            <w:tcW w:w="1692"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Ford Tamer</w:t>
            </w:r>
          </w:p>
          <w:p>
            <w:pPr>
              <w:pStyle w:val="TableContents"/>
              <w:bidi w:val="0"/>
              <w:spacing w:before="0" w:after="20"/>
              <w:jc w:val="center"/>
              <w:rPr>
                <w:rFonts w:ascii="Times New Roman" w:hAnsi="Times New Roman"/>
                <w:sz w:val="20"/>
              </w:rPr>
            </w:pPr>
            <w:r>
              <w:rPr>
                <w:rFonts w:ascii="Times New Roman" w:hAnsi="Times New Roman"/>
                <w:sz w:val="20"/>
              </w:rPr>
              <w:t>Ford Tamer</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President, Chief Executive Officer, and Director (Principal Executive Officer)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Lorenzo A. Flores</w:t>
            </w:r>
          </w:p>
          <w:p>
            <w:pPr>
              <w:pStyle w:val="TableContents"/>
              <w:bidi w:val="0"/>
              <w:spacing w:before="0" w:after="20"/>
              <w:jc w:val="center"/>
              <w:rPr>
                <w:rFonts w:ascii="Times New Roman" w:hAnsi="Times New Roman"/>
                <w:sz w:val="20"/>
              </w:rPr>
            </w:pPr>
            <w:r>
              <w:rPr>
                <w:rFonts w:ascii="Times New Roman" w:hAnsi="Times New Roman"/>
                <w:sz w:val="20"/>
              </w:rPr>
              <w:t>Lorenzo A. Flores</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Senior Vice President, Chief Financial Officer (Principal Financial and Accounting Officer)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Douglas Bettinger</w:t>
            </w:r>
          </w:p>
          <w:p>
            <w:pPr>
              <w:pStyle w:val="TableContents"/>
              <w:bidi w:val="0"/>
              <w:spacing w:before="0" w:after="20"/>
              <w:jc w:val="center"/>
              <w:rPr>
                <w:rFonts w:ascii="Times New Roman" w:hAnsi="Times New Roman"/>
                <w:sz w:val="20"/>
              </w:rPr>
            </w:pPr>
            <w:r>
              <w:rPr>
                <w:rFonts w:ascii="Times New Roman" w:hAnsi="Times New Roman"/>
                <w:sz w:val="20"/>
              </w:rPr>
              <w:t>Douglas Bettinger</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Director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Que Thanh Dallara</w:t>
            </w:r>
          </w:p>
          <w:p>
            <w:pPr>
              <w:pStyle w:val="TableContents"/>
              <w:bidi w:val="0"/>
              <w:spacing w:before="0" w:after="20"/>
              <w:jc w:val="center"/>
              <w:rPr>
                <w:rFonts w:ascii="Times New Roman" w:hAnsi="Times New Roman"/>
                <w:sz w:val="20"/>
              </w:rPr>
            </w:pPr>
            <w:r>
              <w:rPr>
                <w:rFonts w:ascii="Times New Roman" w:hAnsi="Times New Roman"/>
                <w:sz w:val="20"/>
              </w:rPr>
              <w:t>Que Thanh Dallara</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Director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Forsyth</w:t>
            </w:r>
          </w:p>
          <w:p>
            <w:pPr>
              <w:pStyle w:val="TableContents"/>
              <w:bidi w:val="0"/>
              <w:spacing w:before="0" w:after="20"/>
              <w:jc w:val="center"/>
              <w:rPr>
                <w:rFonts w:ascii="Times New Roman" w:hAnsi="Times New Roman"/>
                <w:sz w:val="20"/>
              </w:rPr>
            </w:pPr>
            <w:r>
              <w:rPr>
                <w:rFonts w:ascii="Times New Roman" w:hAnsi="Times New Roman"/>
                <w:sz w:val="20"/>
              </w:rPr>
              <w:t>John Forsyth</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Director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r>
        <w:trPr>
          <w:trHeight w:val="240" w:hRule="atLeast"/>
        </w:trPr>
        <w:tc>
          <w:tcPr>
            <w:tcW w:w="2987" w:type="dxa"/>
            <w:tcBorders/>
            <w:vAlign w:val="center"/>
          </w:tcPr>
          <w:p>
            <w:pPr>
              <w:pStyle w:val="TableContents"/>
              <w:bidi w:val="0"/>
              <w:spacing w:before="0" w:after="283"/>
              <w:jc w:val="left"/>
              <w:rPr>
                <w:sz w:val="4"/>
                <w:szCs w:val="4"/>
              </w:rPr>
            </w:pPr>
            <w:r>
              <w:rPr>
                <w:sz w:val="4"/>
                <w:szCs w:val="4"/>
              </w:rPr>
            </w:r>
          </w:p>
        </w:tc>
        <w:tc>
          <w:tcPr>
            <w:tcW w:w="5428" w:type="dxa"/>
            <w:gridSpan w:val="2"/>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r>
      <w:tr>
        <w:trPr/>
        <w:tc>
          <w:tcPr>
            <w:tcW w:w="29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E. Jensen</w:t>
            </w:r>
          </w:p>
          <w:p>
            <w:pPr>
              <w:pStyle w:val="TableContents"/>
              <w:bidi w:val="0"/>
              <w:spacing w:before="0" w:after="20"/>
              <w:jc w:val="center"/>
              <w:rPr>
                <w:rFonts w:ascii="Times New Roman" w:hAnsi="Times New Roman"/>
                <w:sz w:val="20"/>
              </w:rPr>
            </w:pPr>
            <w:r>
              <w:rPr>
                <w:rFonts w:ascii="Times New Roman" w:hAnsi="Times New Roman"/>
                <w:sz w:val="20"/>
              </w:rPr>
              <w:t>Mark E. Jensen</w:t>
            </w:r>
          </w:p>
        </w:tc>
        <w:tc>
          <w:tcPr>
            <w:tcW w:w="60" w:type="dxa"/>
            <w:tcBorders/>
            <w:vAlign w:val="bottom"/>
          </w:tcPr>
          <w:p>
            <w:pPr>
              <w:pStyle w:val="TableContents"/>
              <w:bidi w:val="0"/>
              <w:spacing w:before="0" w:after="283"/>
              <w:jc w:val="left"/>
              <w:rPr/>
            </w:pPr>
            <w:r>
              <w:rPr/>
              <w:t> </w:t>
            </w:r>
          </w:p>
        </w:tc>
        <w:tc>
          <w:tcPr>
            <w:tcW w:w="5368" w:type="dxa"/>
            <w:tcBorders/>
          </w:tcPr>
          <w:p>
            <w:pPr>
              <w:pStyle w:val="TableContents"/>
              <w:bidi w:val="0"/>
              <w:spacing w:before="0" w:after="283"/>
              <w:jc w:val="left"/>
              <w:rPr/>
            </w:pPr>
            <w:r>
              <w:rPr/>
              <w:t>Director</w:t>
            </w:r>
          </w:p>
        </w:tc>
        <w:tc>
          <w:tcPr>
            <w:tcW w:w="98" w:type="dxa"/>
            <w:tcBorders/>
            <w:vAlign w:val="bottom"/>
          </w:tcPr>
          <w:p>
            <w:pPr>
              <w:pStyle w:val="TableContents"/>
              <w:bidi w:val="0"/>
              <w:spacing w:before="0" w:after="283"/>
              <w:jc w:val="left"/>
              <w:rPr/>
            </w:pPr>
            <w:r>
              <w:rPr/>
              <w:t> </w:t>
            </w:r>
          </w:p>
        </w:tc>
        <w:tc>
          <w:tcPr>
            <w:tcW w:w="1692" w:type="dxa"/>
            <w:tcBorders/>
          </w:tcPr>
          <w:p>
            <w:pPr>
              <w:pStyle w:val="TableContents"/>
              <w:bidi w:val="0"/>
              <w:spacing w:before="0" w:after="283"/>
              <w:jc w:val="center"/>
              <w:rPr/>
            </w:pPr>
            <w:r>
              <w:rPr/>
              <w:t>October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347"/>
        <w:gridCol w:w="60"/>
        <w:gridCol w:w="4975"/>
        <w:gridCol w:w="105"/>
        <w:gridCol w:w="1718"/>
      </w:tblGrid>
      <w:tr>
        <w:trPr/>
        <w:tc>
          <w:tcPr>
            <w:tcW w:w="33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60" w:type="dxa"/>
            <w:tcBorders/>
            <w:vAlign w:val="bottom"/>
          </w:tcPr>
          <w:p>
            <w:pPr>
              <w:pStyle w:val="TableContents"/>
              <w:bidi w:val="0"/>
              <w:spacing w:before="0" w:after="283"/>
              <w:jc w:val="left"/>
              <w:rPr/>
            </w:pPr>
            <w:r>
              <w:rPr/>
              <w:t> </w:t>
            </w:r>
          </w:p>
        </w:tc>
        <w:tc>
          <w:tcPr>
            <w:tcW w:w="49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718"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r>
      <w:tr>
        <w:trPr>
          <w:trHeight w:val="240" w:hRule="atLeast"/>
        </w:trPr>
        <w:tc>
          <w:tcPr>
            <w:tcW w:w="3347" w:type="dxa"/>
            <w:tcBorders/>
            <w:vAlign w:val="center"/>
          </w:tcPr>
          <w:p>
            <w:pPr>
              <w:pStyle w:val="TableContents"/>
              <w:bidi w:val="0"/>
              <w:spacing w:before="0" w:after="283"/>
              <w:jc w:val="left"/>
              <w:rPr>
                <w:sz w:val="4"/>
                <w:szCs w:val="4"/>
              </w:rPr>
            </w:pPr>
            <w:r>
              <w:rPr>
                <w:sz w:val="4"/>
                <w:szCs w:val="4"/>
              </w:rPr>
            </w:r>
          </w:p>
        </w:tc>
        <w:tc>
          <w:tcPr>
            <w:tcW w:w="5035" w:type="dxa"/>
            <w:gridSpan w:val="2"/>
            <w:tcBorders/>
            <w:vAlign w:val="center"/>
          </w:tcPr>
          <w:p>
            <w:pPr>
              <w:pStyle w:val="TableContents"/>
              <w:bidi w:val="0"/>
              <w:spacing w:before="0" w:after="283"/>
              <w:jc w:val="left"/>
              <w:rPr>
                <w:sz w:val="4"/>
                <w:szCs w:val="4"/>
              </w:rPr>
            </w:pPr>
            <w:r>
              <w:rPr>
                <w:sz w:val="4"/>
                <w:szCs w:val="4"/>
              </w:rPr>
            </w:r>
          </w:p>
        </w:tc>
        <w:tc>
          <w:tcPr>
            <w:tcW w:w="1823" w:type="dxa"/>
            <w:gridSpan w:val="2"/>
            <w:tcBorders/>
            <w:vAlign w:val="center"/>
          </w:tcPr>
          <w:p>
            <w:pPr>
              <w:pStyle w:val="TableContents"/>
              <w:bidi w:val="0"/>
              <w:spacing w:before="0" w:after="283"/>
              <w:jc w:val="left"/>
              <w:rPr>
                <w:sz w:val="4"/>
                <w:szCs w:val="4"/>
              </w:rPr>
            </w:pPr>
            <w:r>
              <w:rPr>
                <w:sz w:val="4"/>
                <w:szCs w:val="4"/>
              </w:rPr>
            </w:r>
          </w:p>
        </w:tc>
      </w:tr>
      <w:tr>
        <w:trPr/>
        <w:tc>
          <w:tcPr>
            <w:tcW w:w="334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P. Lederer</w:t>
            </w:r>
          </w:p>
          <w:p>
            <w:pPr>
              <w:pStyle w:val="TableContents"/>
              <w:bidi w:val="0"/>
              <w:spacing w:before="0" w:after="20"/>
              <w:jc w:val="center"/>
              <w:rPr>
                <w:rFonts w:ascii="Times New Roman" w:hAnsi="Times New Roman"/>
                <w:sz w:val="20"/>
              </w:rPr>
            </w:pPr>
            <w:r>
              <w:rPr>
                <w:rFonts w:ascii="Times New Roman" w:hAnsi="Times New Roman"/>
                <w:sz w:val="20"/>
              </w:rPr>
              <w:t>James P. Lederer</w:t>
            </w:r>
          </w:p>
        </w:tc>
        <w:tc>
          <w:tcPr>
            <w:tcW w:w="60" w:type="dxa"/>
            <w:tcBorders/>
            <w:vAlign w:val="bottom"/>
          </w:tcPr>
          <w:p>
            <w:pPr>
              <w:pStyle w:val="TableContents"/>
              <w:bidi w:val="0"/>
              <w:spacing w:before="0" w:after="283"/>
              <w:jc w:val="left"/>
              <w:rPr/>
            </w:pPr>
            <w:r>
              <w:rPr/>
              <w:t> </w:t>
            </w:r>
          </w:p>
        </w:tc>
        <w:tc>
          <w:tcPr>
            <w:tcW w:w="4975"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October 13, 2026</w:t>
            </w:r>
          </w:p>
        </w:tc>
      </w:tr>
      <w:tr>
        <w:trPr>
          <w:trHeight w:val="240" w:hRule="atLeast"/>
        </w:trPr>
        <w:tc>
          <w:tcPr>
            <w:tcW w:w="3347" w:type="dxa"/>
            <w:tcBorders/>
            <w:vAlign w:val="center"/>
          </w:tcPr>
          <w:p>
            <w:pPr>
              <w:pStyle w:val="TableContents"/>
              <w:bidi w:val="0"/>
              <w:spacing w:before="0" w:after="283"/>
              <w:jc w:val="left"/>
              <w:rPr>
                <w:sz w:val="4"/>
                <w:szCs w:val="4"/>
              </w:rPr>
            </w:pPr>
            <w:r>
              <w:rPr>
                <w:sz w:val="4"/>
                <w:szCs w:val="4"/>
              </w:rPr>
            </w:r>
          </w:p>
        </w:tc>
        <w:tc>
          <w:tcPr>
            <w:tcW w:w="5035" w:type="dxa"/>
            <w:gridSpan w:val="2"/>
            <w:tcBorders/>
            <w:vAlign w:val="center"/>
          </w:tcPr>
          <w:p>
            <w:pPr>
              <w:pStyle w:val="TableContents"/>
              <w:bidi w:val="0"/>
              <w:spacing w:before="0" w:after="283"/>
              <w:jc w:val="left"/>
              <w:rPr>
                <w:sz w:val="4"/>
                <w:szCs w:val="4"/>
              </w:rPr>
            </w:pPr>
            <w:r>
              <w:rPr>
                <w:sz w:val="4"/>
                <w:szCs w:val="4"/>
              </w:rPr>
            </w:r>
          </w:p>
        </w:tc>
        <w:tc>
          <w:tcPr>
            <w:tcW w:w="1823" w:type="dxa"/>
            <w:gridSpan w:val="2"/>
            <w:tcBorders/>
            <w:vAlign w:val="center"/>
          </w:tcPr>
          <w:p>
            <w:pPr>
              <w:pStyle w:val="TableContents"/>
              <w:bidi w:val="0"/>
              <w:spacing w:before="0" w:after="283"/>
              <w:jc w:val="left"/>
              <w:rPr>
                <w:sz w:val="4"/>
                <w:szCs w:val="4"/>
              </w:rPr>
            </w:pPr>
            <w:r>
              <w:rPr>
                <w:sz w:val="4"/>
                <w:szCs w:val="4"/>
              </w:rPr>
            </w:r>
          </w:p>
        </w:tc>
      </w:tr>
      <w:tr>
        <w:trPr/>
        <w:tc>
          <w:tcPr>
            <w:tcW w:w="334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 Jeffrey Richardson</w:t>
            </w:r>
          </w:p>
          <w:p>
            <w:pPr>
              <w:pStyle w:val="TableContents"/>
              <w:bidi w:val="0"/>
              <w:spacing w:before="0" w:after="20"/>
              <w:jc w:val="center"/>
              <w:rPr>
                <w:rFonts w:ascii="Times New Roman" w:hAnsi="Times New Roman"/>
                <w:sz w:val="20"/>
              </w:rPr>
            </w:pPr>
            <w:r>
              <w:rPr>
                <w:rFonts w:ascii="Times New Roman" w:hAnsi="Times New Roman"/>
                <w:sz w:val="20"/>
              </w:rPr>
              <w:t>D. Jeffrey Richardson</w:t>
            </w:r>
          </w:p>
        </w:tc>
        <w:tc>
          <w:tcPr>
            <w:tcW w:w="60" w:type="dxa"/>
            <w:tcBorders/>
            <w:vAlign w:val="bottom"/>
          </w:tcPr>
          <w:p>
            <w:pPr>
              <w:pStyle w:val="TableContents"/>
              <w:bidi w:val="0"/>
              <w:spacing w:before="0" w:after="283"/>
              <w:jc w:val="left"/>
              <w:rPr/>
            </w:pPr>
            <w:r>
              <w:rPr/>
              <w:t> </w:t>
            </w:r>
          </w:p>
        </w:tc>
        <w:tc>
          <w:tcPr>
            <w:tcW w:w="4975"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October 13, 2026</w:t>
            </w:r>
          </w:p>
        </w:tc>
      </w:tr>
      <w:tr>
        <w:trPr>
          <w:trHeight w:val="240" w:hRule="atLeast"/>
        </w:trPr>
        <w:tc>
          <w:tcPr>
            <w:tcW w:w="3347" w:type="dxa"/>
            <w:tcBorders/>
            <w:vAlign w:val="center"/>
          </w:tcPr>
          <w:p>
            <w:pPr>
              <w:pStyle w:val="TableContents"/>
              <w:bidi w:val="0"/>
              <w:spacing w:before="0" w:after="283"/>
              <w:jc w:val="left"/>
              <w:rPr>
                <w:sz w:val="4"/>
                <w:szCs w:val="4"/>
              </w:rPr>
            </w:pPr>
            <w:r>
              <w:rPr>
                <w:sz w:val="4"/>
                <w:szCs w:val="4"/>
              </w:rPr>
            </w:r>
          </w:p>
        </w:tc>
        <w:tc>
          <w:tcPr>
            <w:tcW w:w="5035" w:type="dxa"/>
            <w:gridSpan w:val="2"/>
            <w:tcBorders/>
            <w:vAlign w:val="center"/>
          </w:tcPr>
          <w:p>
            <w:pPr>
              <w:pStyle w:val="TableContents"/>
              <w:bidi w:val="0"/>
              <w:spacing w:before="0" w:after="283"/>
              <w:jc w:val="left"/>
              <w:rPr>
                <w:sz w:val="4"/>
                <w:szCs w:val="4"/>
              </w:rPr>
            </w:pPr>
            <w:r>
              <w:rPr>
                <w:sz w:val="4"/>
                <w:szCs w:val="4"/>
              </w:rPr>
            </w:r>
          </w:p>
        </w:tc>
        <w:tc>
          <w:tcPr>
            <w:tcW w:w="1823" w:type="dxa"/>
            <w:gridSpan w:val="2"/>
            <w:tcBorders/>
            <w:vAlign w:val="center"/>
          </w:tcPr>
          <w:p>
            <w:pPr>
              <w:pStyle w:val="TableContents"/>
              <w:bidi w:val="0"/>
              <w:spacing w:before="0" w:after="283"/>
              <w:jc w:val="left"/>
              <w:rPr>
                <w:sz w:val="4"/>
                <w:szCs w:val="4"/>
              </w:rPr>
            </w:pPr>
            <w:r>
              <w:rPr>
                <w:sz w:val="4"/>
                <w:szCs w:val="4"/>
              </w:rPr>
            </w:r>
          </w:p>
        </w:tc>
      </w:tr>
      <w:tr>
        <w:trPr/>
        <w:tc>
          <w:tcPr>
            <w:tcW w:w="334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Elizabeth Schwarting</w:t>
            </w:r>
          </w:p>
          <w:p>
            <w:pPr>
              <w:pStyle w:val="TableContents"/>
              <w:bidi w:val="0"/>
              <w:spacing w:before="0" w:after="20"/>
              <w:jc w:val="center"/>
              <w:rPr>
                <w:rFonts w:ascii="Times New Roman" w:hAnsi="Times New Roman"/>
                <w:sz w:val="20"/>
              </w:rPr>
            </w:pPr>
            <w:r>
              <w:rPr>
                <w:rFonts w:ascii="Times New Roman" w:hAnsi="Times New Roman"/>
                <w:sz w:val="20"/>
              </w:rPr>
              <w:t>Elizabeth Schwarting</w:t>
            </w:r>
          </w:p>
        </w:tc>
        <w:tc>
          <w:tcPr>
            <w:tcW w:w="60" w:type="dxa"/>
            <w:tcBorders/>
            <w:vAlign w:val="bottom"/>
          </w:tcPr>
          <w:p>
            <w:pPr>
              <w:pStyle w:val="TableContents"/>
              <w:bidi w:val="0"/>
              <w:spacing w:before="0" w:after="283"/>
              <w:jc w:val="left"/>
              <w:rPr/>
            </w:pPr>
            <w:r>
              <w:rPr/>
              <w:t> </w:t>
            </w:r>
          </w:p>
        </w:tc>
        <w:tc>
          <w:tcPr>
            <w:tcW w:w="4975" w:type="dxa"/>
            <w:tcBorders/>
          </w:tcPr>
          <w:p>
            <w:pPr>
              <w:pStyle w:val="TableContents"/>
              <w:bidi w:val="0"/>
              <w:spacing w:before="0" w:after="283"/>
              <w:jc w:val="left"/>
              <w:rPr/>
            </w:pPr>
            <w:r>
              <w:rPr/>
              <w:t>Director</w:t>
            </w:r>
          </w:p>
        </w:tc>
        <w:tc>
          <w:tcPr>
            <w:tcW w:w="105"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center"/>
              <w:rPr/>
            </w:pPr>
            <w:r>
              <w:rPr/>
              <w:t>October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2" w:name="d79858dex43.htm"/>
      <w:bookmarkStart w:id="23" w:name="ksd79858dex43"/>
      <w:bookmarkEnd w:id="22"/>
      <w:bookmarkEnd w:id="23"/>
      <w:r>
        <w:rPr>
          <w:rFonts w:ascii="Times New Roman" w:hAnsi="Times New Roman"/>
          <w:b/>
          <w:sz w:val="20"/>
        </w:rPr>
        <w:t xml:space="preserve">Exhibit 4.3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LATTICE SEMICONDUCTOR CORPORATION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3"/>
        <w:gridCol w:w="97"/>
        <w:gridCol w:w="8055"/>
        <w:gridCol w:w="151"/>
        <w:gridCol w:w="96"/>
        <w:gridCol w:w="420"/>
        <w:gridCol w:w="63"/>
      </w:tblGrid>
      <w:tr>
        <w:trPr/>
        <w:tc>
          <w:tcPr>
            <w:tcW w:w="1323"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0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52"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Other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Incorporation by Reference of Trust Indenture Act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Rules of Construction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52"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Issuable in Series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Establishment of Terms of Series of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Execution and Authentication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Registrar and Paying Agent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Paying Agent to Hold Money in Trust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Securityholder Lists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Transfer and Exchange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Mutilated, Destroyed, Lost and Stolen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Outstanding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Treasury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Temporary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Cancellation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Defaulted Interest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Global Securities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CUSIP Numbers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52"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Notice to Trustee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Selection of Securities to be Redeemed</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Notice of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Effect of Notice of Redemption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Deposit of Redemption Price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Securities Redeemed in Part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52"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Payment of Principal and Interest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SEC Reports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Compliance Certificate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Stay, Extension and Usury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323" w:type="dxa"/>
            <w:tcBorders/>
            <w:vAlign w:val="center"/>
          </w:tcPr>
          <w:p>
            <w:pPr>
              <w:pStyle w:val="TableContents"/>
              <w:bidi w:val="0"/>
              <w:spacing w:before="0" w:after="283"/>
              <w:jc w:val="left"/>
              <w:rPr>
                <w:sz w:val="4"/>
                <w:szCs w:val="4"/>
              </w:rPr>
            </w:pPr>
            <w:r>
              <w:rPr>
                <w:sz w:val="4"/>
                <w:szCs w:val="4"/>
              </w:rPr>
            </w:r>
          </w:p>
        </w:tc>
        <w:tc>
          <w:tcPr>
            <w:tcW w:w="8152"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When Company May Merge, Etc</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97" w:type="dxa"/>
            <w:tcBorders/>
            <w:vAlign w:val="bottom"/>
          </w:tcPr>
          <w:p>
            <w:pPr>
              <w:pStyle w:val="TableContents"/>
              <w:bidi w:val="0"/>
              <w:spacing w:before="0" w:after="283"/>
              <w:jc w:val="left"/>
              <w:rPr/>
            </w:pPr>
            <w:r>
              <w:rPr/>
              <w:t> </w:t>
            </w:r>
          </w:p>
        </w:tc>
        <w:tc>
          <w:tcPr>
            <w:tcW w:w="8055" w:type="dxa"/>
            <w:tcBorders/>
            <w:vAlign w:val="bottom"/>
          </w:tcPr>
          <w:p>
            <w:pPr>
              <w:pStyle w:val="TableContents"/>
              <w:bidi w:val="0"/>
              <w:spacing w:before="0" w:after="283"/>
              <w:jc w:val="left"/>
              <w:rPr/>
            </w:pPr>
            <w:r>
              <w:rPr/>
              <w:t>Successor Corporation Substituted</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84"/>
        <w:gridCol w:w="8179"/>
        <w:gridCol w:w="140"/>
        <w:gridCol w:w="96"/>
        <w:gridCol w:w="420"/>
        <w:gridCol w:w="62"/>
      </w:tblGrid>
      <w:tr>
        <w:trPr/>
        <w:tc>
          <w:tcPr>
            <w:tcW w:w="122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17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Events of Default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Acceleration of Maturity; Rescission and Annulment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Collection of Indebtedness and Suits for Enforcement by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Trustee May File Proofs of Claim</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Trustee May Enforce Claims Without Possession of Securities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Application of Money Collected</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Limitation on Suits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Unconditional Right of Holders to Receive Principal and Interest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Restoration of Rights and Remedies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Rights and Remedies Cumulative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Delay or Omission Not Waiver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Control by Holders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Waiver of Past Defaults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Undertaking for Costs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Duties of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Rights of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Individual Rights of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Trustee’s Disclaimer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Notice of Defaults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Reports by Trustee to Holders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Compensation and Indemnity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Replacement of Trustee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Successor Trustee by Merger, Etc</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Eligibility; Disqualification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Preferential Collection of Claims Against Company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SATISFACTION AND DISCHARGE; DEFEASANCE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Satisfaction and Discharge of Indenture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Application of Trust Funds; Indemnification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Legal Defeasance of Securities of any Series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Covenant Defeasance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Repayment to Company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Reinstatement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263"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Without Consent of Holders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With Consent of Holders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Limitations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Compliance with Trust Indenture Act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224"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4" w:type="dxa"/>
            <w:tcBorders/>
            <w:vAlign w:val="bottom"/>
          </w:tcPr>
          <w:p>
            <w:pPr>
              <w:pStyle w:val="TableContents"/>
              <w:bidi w:val="0"/>
              <w:spacing w:before="0" w:after="283"/>
              <w:jc w:val="left"/>
              <w:rPr/>
            </w:pPr>
            <w:r>
              <w:rPr/>
              <w:t> </w:t>
            </w:r>
          </w:p>
        </w:tc>
        <w:tc>
          <w:tcPr>
            <w:tcW w:w="8179" w:type="dxa"/>
            <w:tcBorders/>
            <w:vAlign w:val="bottom"/>
          </w:tcPr>
          <w:p>
            <w:pPr>
              <w:pStyle w:val="TableContents"/>
              <w:bidi w:val="0"/>
              <w:spacing w:before="0" w:after="283"/>
              <w:jc w:val="left"/>
              <w:rPr/>
            </w:pPr>
            <w:r>
              <w:rPr/>
              <w:t>Revocation and Effect of Consents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65"/>
        <w:gridCol w:w="85"/>
        <w:gridCol w:w="8035"/>
        <w:gridCol w:w="141"/>
        <w:gridCol w:w="96"/>
        <w:gridCol w:w="419"/>
        <w:gridCol w:w="64"/>
      </w:tblGrid>
      <w:tr>
        <w:trPr/>
        <w:tc>
          <w:tcPr>
            <w:tcW w:w="136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03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6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Notation on or Exchange of Securities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Trustee Protected</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9485" w:type="dxa"/>
            <w:gridSpan w:val="3"/>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94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Trust Indenture Act Controls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Notices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Communication by Holders with Other Holders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Certificate and Opinion as to Conditions Precedent</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Statements Required in Certificate or Opinion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Rules by Trustee and Agents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Legal Holidays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No Recourse Against Others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Counterparts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Governing Law; Waiver of Jury Trial; Consent to Jurisdiction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No Adverse Interpretation of Other Agreements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Successors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Severability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Table of Contents, Headings, Etc</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Securities in a Foreign Currency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Judgment Currency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Force Majeure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U.S.A. Patriot Act</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9485" w:type="dxa"/>
            <w:gridSpan w:val="3"/>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94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SINKING FUNDS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36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20" w:type="dxa"/>
            <w:gridSpan w:val="4"/>
            <w:tcBorders/>
            <w:vAlign w:val="center"/>
          </w:tcPr>
          <w:p>
            <w:pPr>
              <w:pStyle w:val="TableContents"/>
              <w:bidi w:val="0"/>
              <w:spacing w:before="0" w:after="283"/>
              <w:jc w:val="left"/>
              <w:rPr>
                <w:sz w:val="4"/>
                <w:szCs w:val="4"/>
              </w:rPr>
            </w:pPr>
            <w:r>
              <w:rPr>
                <w:sz w:val="4"/>
                <w:szCs w:val="4"/>
              </w:rPr>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Applicability of Article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Satisfaction of Sinking Fund Payments with Securities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65"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5" w:type="dxa"/>
            <w:tcBorders/>
            <w:vAlign w:val="bottom"/>
          </w:tcPr>
          <w:p>
            <w:pPr>
              <w:pStyle w:val="TableContents"/>
              <w:bidi w:val="0"/>
              <w:spacing w:before="0" w:after="283"/>
              <w:jc w:val="left"/>
              <w:rPr/>
            </w:pPr>
            <w:r>
              <w:rPr/>
              <w:t> </w:t>
            </w:r>
          </w:p>
        </w:tc>
        <w:tc>
          <w:tcPr>
            <w:tcW w:w="8035" w:type="dxa"/>
            <w:tcBorders/>
            <w:vAlign w:val="bottom"/>
          </w:tcPr>
          <w:p>
            <w:pPr>
              <w:pStyle w:val="TableContents"/>
              <w:bidi w:val="0"/>
              <w:spacing w:before="0" w:after="283"/>
              <w:jc w:val="left"/>
              <w:rPr/>
            </w:pPr>
            <w:r>
              <w:rPr/>
              <w:t>Redemption of Securities for Sinking Fund</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LATTICE SEMICONDUCTOR CORPORATION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Indenture, dated as of   , 20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832"/>
        <w:gridCol w:w="99"/>
        <w:gridCol w:w="5599"/>
        <w:gridCol w:w="129"/>
        <w:gridCol w:w="1505"/>
      </w:tblGrid>
      <w:tr>
        <w:trPr/>
        <w:tc>
          <w:tcPr>
            <w:tcW w:w="832"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559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310(a)(1)</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7.10</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7.10</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(a)(3)</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(a)(4)</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(a)(5)</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7.10</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7.10</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311(a)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7.11</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7.11</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312(a)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2.6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10.3</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10.3</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313(a)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(b)(1)</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(b)(2)</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(c)(1)</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7.6</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314(a)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4.2, 10.5</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(c)(1)</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10.4</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(c)(2)</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10.4</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(c)(3)</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10.5</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(f)</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Not Applicable</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315(a)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7.5</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(c)</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(d)</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7.1</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(e)</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6.14</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316(a)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2.10</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(a)(1)(A)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6.12</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(a)(1)(B)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6.13</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6.8</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317(a)(1)</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6.3</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(a)(2)</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6.4</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(b)</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2.5</w:t>
            </w:r>
          </w:p>
        </w:tc>
      </w:tr>
      <w:tr>
        <w:trPr/>
        <w:tc>
          <w:tcPr>
            <w:tcW w:w="832" w:type="dxa"/>
            <w:tcBorders/>
          </w:tcPr>
          <w:p>
            <w:pPr>
              <w:pStyle w:val="TableContents"/>
              <w:bidi w:val="0"/>
              <w:spacing w:before="0" w:after="0"/>
              <w:jc w:val="right"/>
              <w:rPr>
                <w:rFonts w:ascii="Times New Roman" w:hAnsi="Times New Roman"/>
                <w:sz w:val="20"/>
              </w:rPr>
            </w:pPr>
            <w:r>
              <w:rPr>
                <w:rFonts w:ascii="Times New Roman" w:hAnsi="Times New Roman"/>
                <w:sz w:val="20"/>
              </w:rPr>
              <w:t>§ 318(a)</w:t>
            </w:r>
          </w:p>
        </w:tc>
        <w:tc>
          <w:tcPr>
            <w:tcW w:w="99" w:type="dxa"/>
            <w:tcBorders/>
            <w:vAlign w:val="bottom"/>
          </w:tcPr>
          <w:p>
            <w:pPr>
              <w:pStyle w:val="TableContents"/>
              <w:bidi w:val="0"/>
              <w:spacing w:before="0" w:after="283"/>
              <w:jc w:val="left"/>
              <w:rPr/>
            </w:pPr>
            <w:r>
              <w:rPr/>
              <w:t> </w:t>
            </w:r>
          </w:p>
        </w:tc>
        <w:tc>
          <w:tcPr>
            <w:tcW w:w="559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left"/>
              <w:rPr/>
            </w:pPr>
            <w:r>
              <w:rPr/>
              <w:t>10.1</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 20 between Lattice Semiconductor Corporation, a company incorporated under the laws of Delaware (the “</w:t>
      </w:r>
      <w:r>
        <w:rPr>
          <w:rFonts w:ascii="Times New Roman" w:hAnsi="Times New Roman"/>
          <w:i/>
          <w:sz w:val="20"/>
        </w:rPr>
        <w:t>Company</w:t>
      </w:r>
      <w:r>
        <w:rPr>
          <w:rFonts w:ascii="Times New Roman" w:hAnsi="Times New Roman"/>
          <w:sz w:val="20"/>
        </w:rPr>
        <w:t>”), and [__________], a national banking association organized under the laws of the United States, as trustee (the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Additional Amounts</w:t>
      </w:r>
      <w:r>
        <w:rPr>
          <w:rFonts w:ascii="Times New Roman" w:hAnsi="Times New Roman"/>
          <w:sz w:val="20"/>
        </w:rPr>
        <w:t xml:space="preserve">” means any additional amounts which are required hereby or by any Security, under circumstances specified herein or therein, to be paid by the Company in respect of certain taxes imposed on Holders specified herein or therein and which are owing to such Holders.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bidi w:val="0"/>
        <w:spacing w:before="240" w:after="0"/>
        <w:jc w:val="left"/>
        <w:rPr/>
      </w:pPr>
      <w:r>
        <w:rPr/>
        <w:t>“</w:t>
      </w:r>
      <w:r>
        <w:rPr>
          <w:rFonts w:ascii="Times New Roman" w:hAnsi="Times New Roman"/>
          <w:i/>
          <w:sz w:val="20"/>
        </w:rPr>
        <w:t>Common Stock</w:t>
      </w:r>
      <w:r>
        <w:rPr>
          <w:rFonts w:ascii="Times New Roman" w:hAnsi="Times New Roman"/>
          <w:sz w:val="20"/>
        </w:rPr>
        <w:t xml:space="preserve">” means the common stock, par value $0.01 per share, of the Company.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Corporate Trust Office</w:t>
      </w:r>
      <w:r>
        <w:rPr>
          <w:rFonts w:ascii="Times New Roman" w:hAnsi="Times New Roman"/>
          <w:sz w:val="20"/>
        </w:rPr>
        <w:t xml:space="preserve">”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or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or “</w:t>
      </w:r>
      <w:r>
        <w:rPr>
          <w:rFonts w:ascii="Times New Roman" w:hAnsi="Times New Roman"/>
          <w:i/>
          <w:sz w:val="20"/>
        </w:rPr>
        <w:t>Securityholder</w:t>
      </w:r>
      <w:r>
        <w:rPr>
          <w:rFonts w:ascii="Times New Roman" w:hAnsi="Times New Roman"/>
          <w:sz w:val="20"/>
        </w:rPr>
        <w:t xml:space="preserve">” means a person in whose name a Security is registered on the books of the Registrar.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Section 10.5.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opinion may contain customary limitations, qualifications, conditions and exceptions. The counsel may be an employee of or counsel to the Company.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and any Additional Amounts in respect of, the Security.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24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5020"/>
        <w:gridCol w:w="122"/>
        <w:gridCol w:w="4654"/>
      </w:tblGrid>
      <w:tr>
        <w:trPr/>
        <w:tc>
          <w:tcPr>
            <w:tcW w:w="50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54" w:type="dxa"/>
            <w:tcBorders/>
            <w:vAlign w:val="center"/>
          </w:tcPr>
          <w:p>
            <w:pPr>
              <w:pStyle w:val="TableContents"/>
              <w:bidi w:val="0"/>
              <w:spacing w:before="0" w:after="283"/>
              <w:jc w:val="left"/>
              <w:rPr>
                <w:sz w:val="4"/>
                <w:szCs w:val="4"/>
              </w:rPr>
            </w:pPr>
            <w:r>
              <w:rPr>
                <w:sz w:val="4"/>
                <w:szCs w:val="4"/>
              </w:rPr>
            </w:r>
          </w:p>
        </w:tc>
      </w:tr>
      <w:tr>
        <w:trPr/>
        <w:tc>
          <w:tcPr>
            <w:tcW w:w="5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w:t>
            </w:r>
          </w:p>
        </w:tc>
        <w:tc>
          <w:tcPr>
            <w:tcW w:w="122" w:type="dxa"/>
            <w:tcBorders/>
            <w:vAlign w:val="bottom"/>
          </w:tcPr>
          <w:p>
            <w:pPr>
              <w:pStyle w:val="TableContents"/>
              <w:bidi w:val="0"/>
              <w:spacing w:before="0" w:after="283"/>
              <w:jc w:val="left"/>
              <w:rPr/>
            </w:pPr>
            <w:r>
              <w:rPr/>
              <w:t>  </w:t>
            </w:r>
          </w:p>
        </w:tc>
        <w:tc>
          <w:tcPr>
            <w:tcW w:w="46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DEFINED IN SECTION</w:t>
            </w:r>
          </w:p>
        </w:tc>
      </w:tr>
      <w:tr>
        <w:trPr/>
        <w:tc>
          <w:tcPr>
            <w:tcW w:w="5020" w:type="dxa"/>
            <w:tcBorders/>
          </w:tcPr>
          <w:p>
            <w:pPr>
              <w:pStyle w:val="TableContents"/>
              <w:bidi w:val="0"/>
              <w:spacing w:before="0" w:after="283"/>
              <w:jc w:val="left"/>
              <w:rPr/>
            </w:pPr>
            <w:r>
              <w:rPr/>
              <w:t>“</w:t>
            </w:r>
            <w:r>
              <w:rPr>
                <w:i/>
              </w:rPr>
              <w:t>Bankruptcy Law</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6.1</w:t>
            </w:r>
          </w:p>
        </w:tc>
      </w:tr>
      <w:tr>
        <w:trPr/>
        <w:tc>
          <w:tcPr>
            <w:tcW w:w="5020" w:type="dxa"/>
            <w:tcBorders/>
          </w:tcPr>
          <w:p>
            <w:pPr>
              <w:pStyle w:val="TableContents"/>
              <w:bidi w:val="0"/>
              <w:spacing w:before="0" w:after="283"/>
              <w:jc w:val="left"/>
              <w:rPr/>
            </w:pPr>
            <w:r>
              <w:rPr/>
              <w:t>“</w:t>
            </w:r>
            <w:r>
              <w:rPr>
                <w:i/>
              </w:rPr>
              <w:t>Custodian</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6.1</w:t>
            </w:r>
          </w:p>
        </w:tc>
      </w:tr>
      <w:tr>
        <w:trPr/>
        <w:tc>
          <w:tcPr>
            <w:tcW w:w="5020" w:type="dxa"/>
            <w:tcBorders/>
          </w:tcPr>
          <w:p>
            <w:pPr>
              <w:pStyle w:val="TableContents"/>
              <w:bidi w:val="0"/>
              <w:spacing w:before="0" w:after="283"/>
              <w:jc w:val="left"/>
              <w:rPr/>
            </w:pPr>
            <w:r>
              <w:rPr/>
              <w:t>“</w:t>
            </w:r>
            <w:r>
              <w:rPr>
                <w:i/>
              </w:rPr>
              <w:t>Event of Default</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6.1</w:t>
            </w:r>
          </w:p>
        </w:tc>
      </w:tr>
      <w:tr>
        <w:trPr/>
        <w:tc>
          <w:tcPr>
            <w:tcW w:w="5020" w:type="dxa"/>
            <w:tcBorders/>
          </w:tcPr>
          <w:p>
            <w:pPr>
              <w:pStyle w:val="TableContents"/>
              <w:bidi w:val="0"/>
              <w:spacing w:before="0" w:after="283"/>
              <w:jc w:val="left"/>
              <w:rPr/>
            </w:pPr>
            <w:r>
              <w:rPr/>
              <w:t>“</w:t>
            </w:r>
            <w:r>
              <w:rPr>
                <w:i/>
              </w:rPr>
              <w:t>Judgment Currency</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10.16</w:t>
            </w:r>
          </w:p>
        </w:tc>
      </w:tr>
      <w:tr>
        <w:trPr/>
        <w:tc>
          <w:tcPr>
            <w:tcW w:w="5020" w:type="dxa"/>
            <w:tcBorders/>
          </w:tcPr>
          <w:p>
            <w:pPr>
              <w:pStyle w:val="TableContents"/>
              <w:bidi w:val="0"/>
              <w:spacing w:before="0" w:after="283"/>
              <w:jc w:val="left"/>
              <w:rPr/>
            </w:pPr>
            <w:r>
              <w:rPr/>
              <w:t>“</w:t>
            </w:r>
            <w:r>
              <w:rPr>
                <w:i/>
              </w:rPr>
              <w:t>Legal Holiday</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10.7</w:t>
            </w:r>
          </w:p>
        </w:tc>
      </w:tr>
      <w:tr>
        <w:trPr/>
        <w:tc>
          <w:tcPr>
            <w:tcW w:w="5020" w:type="dxa"/>
            <w:tcBorders/>
          </w:tcPr>
          <w:p>
            <w:pPr>
              <w:pStyle w:val="TableContents"/>
              <w:bidi w:val="0"/>
              <w:spacing w:before="0" w:after="283"/>
              <w:jc w:val="left"/>
              <w:rPr/>
            </w:pPr>
            <w:r>
              <w:rPr/>
              <w:t>“</w:t>
            </w:r>
            <w:r>
              <w:rPr>
                <w:i/>
              </w:rPr>
              <w:t>mandatory sinking fund payment</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11.1</w:t>
            </w:r>
          </w:p>
        </w:tc>
      </w:tr>
      <w:tr>
        <w:trPr/>
        <w:tc>
          <w:tcPr>
            <w:tcW w:w="5020" w:type="dxa"/>
            <w:tcBorders/>
          </w:tcPr>
          <w:p>
            <w:pPr>
              <w:pStyle w:val="TableContents"/>
              <w:bidi w:val="0"/>
              <w:spacing w:before="0" w:after="283"/>
              <w:jc w:val="left"/>
              <w:rPr/>
            </w:pPr>
            <w:r>
              <w:rPr/>
              <w:t>“</w:t>
            </w:r>
            <w:r>
              <w:rPr>
                <w:i/>
              </w:rPr>
              <w:t>New York Banking Day</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10.16</w:t>
            </w:r>
          </w:p>
        </w:tc>
      </w:tr>
      <w:tr>
        <w:trPr/>
        <w:tc>
          <w:tcPr>
            <w:tcW w:w="5020" w:type="dxa"/>
            <w:tcBorders/>
          </w:tcPr>
          <w:p>
            <w:pPr>
              <w:pStyle w:val="TableContents"/>
              <w:bidi w:val="0"/>
              <w:spacing w:before="0" w:after="283"/>
              <w:jc w:val="left"/>
              <w:rPr/>
            </w:pPr>
            <w:r>
              <w:rPr/>
              <w:t>“</w:t>
            </w:r>
            <w:r>
              <w:rPr>
                <w:i/>
              </w:rPr>
              <w:t>Notice Agent</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2.4</w:t>
            </w:r>
          </w:p>
        </w:tc>
      </w:tr>
      <w:tr>
        <w:trPr/>
        <w:tc>
          <w:tcPr>
            <w:tcW w:w="5020" w:type="dxa"/>
            <w:tcBorders/>
          </w:tcPr>
          <w:p>
            <w:pPr>
              <w:pStyle w:val="TableContents"/>
              <w:bidi w:val="0"/>
              <w:spacing w:before="0" w:after="283"/>
              <w:jc w:val="left"/>
              <w:rPr/>
            </w:pPr>
            <w:r>
              <w:rPr/>
              <w:t>“</w:t>
            </w:r>
            <w:r>
              <w:rPr>
                <w:i/>
              </w:rPr>
              <w:t>optional sinking fund payment</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11.1</w:t>
            </w:r>
          </w:p>
        </w:tc>
      </w:tr>
      <w:tr>
        <w:trPr/>
        <w:tc>
          <w:tcPr>
            <w:tcW w:w="5020" w:type="dxa"/>
            <w:tcBorders/>
          </w:tcPr>
          <w:p>
            <w:pPr>
              <w:pStyle w:val="TableContents"/>
              <w:bidi w:val="0"/>
              <w:spacing w:before="0" w:after="283"/>
              <w:jc w:val="left"/>
              <w:rPr/>
            </w:pPr>
            <w:r>
              <w:rPr/>
              <w:t>“</w:t>
            </w:r>
            <w:r>
              <w:rPr>
                <w:i/>
              </w:rPr>
              <w:t>Paying Agent</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2.4</w:t>
            </w:r>
          </w:p>
        </w:tc>
      </w:tr>
      <w:tr>
        <w:trPr/>
        <w:tc>
          <w:tcPr>
            <w:tcW w:w="5020" w:type="dxa"/>
            <w:tcBorders/>
          </w:tcPr>
          <w:p>
            <w:pPr>
              <w:pStyle w:val="TableContents"/>
              <w:bidi w:val="0"/>
              <w:spacing w:before="0" w:after="283"/>
              <w:jc w:val="left"/>
              <w:rPr/>
            </w:pPr>
            <w:r>
              <w:rPr/>
              <w:t>“</w:t>
            </w:r>
            <w:r>
              <w:rPr>
                <w:i/>
              </w:rPr>
              <w:t>Registrar</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2.4</w:t>
            </w:r>
          </w:p>
        </w:tc>
      </w:tr>
      <w:tr>
        <w:trPr/>
        <w:tc>
          <w:tcPr>
            <w:tcW w:w="5020" w:type="dxa"/>
            <w:tcBorders/>
          </w:tcPr>
          <w:p>
            <w:pPr>
              <w:pStyle w:val="TableContents"/>
              <w:bidi w:val="0"/>
              <w:spacing w:before="0" w:after="283"/>
              <w:jc w:val="left"/>
              <w:rPr/>
            </w:pPr>
            <w:r>
              <w:rPr/>
              <w:t>“</w:t>
            </w:r>
            <w:r>
              <w:rPr>
                <w:i/>
              </w:rPr>
              <w:t>Required Currency</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10.16</w:t>
            </w:r>
          </w:p>
        </w:tc>
      </w:tr>
      <w:tr>
        <w:trPr/>
        <w:tc>
          <w:tcPr>
            <w:tcW w:w="5020" w:type="dxa"/>
            <w:tcBorders/>
          </w:tcPr>
          <w:p>
            <w:pPr>
              <w:pStyle w:val="TableContents"/>
              <w:bidi w:val="0"/>
              <w:spacing w:before="0" w:after="283"/>
              <w:jc w:val="left"/>
              <w:rPr/>
            </w:pPr>
            <w:r>
              <w:rPr/>
              <w:t>“</w:t>
            </w:r>
            <w:r>
              <w:rPr>
                <w:i/>
              </w:rPr>
              <w:t>Specified Courts</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10.10</w:t>
            </w:r>
          </w:p>
        </w:tc>
      </w:tr>
      <w:tr>
        <w:trPr/>
        <w:tc>
          <w:tcPr>
            <w:tcW w:w="5020" w:type="dxa"/>
            <w:tcBorders/>
          </w:tcPr>
          <w:p>
            <w:pPr>
              <w:pStyle w:val="TableContents"/>
              <w:bidi w:val="0"/>
              <w:spacing w:before="0" w:after="283"/>
              <w:jc w:val="left"/>
              <w:rPr/>
            </w:pPr>
            <w:r>
              <w:rPr/>
              <w:t>“</w:t>
            </w:r>
            <w:r>
              <w:rPr>
                <w:i/>
              </w:rPr>
              <w:t>successor person</w:t>
            </w:r>
            <w:r>
              <w:rPr/>
              <w:t>”</w:t>
            </w:r>
          </w:p>
        </w:tc>
        <w:tc>
          <w:tcPr>
            <w:tcW w:w="122" w:type="dxa"/>
            <w:tcBorders/>
            <w:vAlign w:val="bottom"/>
          </w:tcPr>
          <w:p>
            <w:pPr>
              <w:pStyle w:val="TableContents"/>
              <w:bidi w:val="0"/>
              <w:spacing w:before="0" w:after="283"/>
              <w:jc w:val="left"/>
              <w:rPr/>
            </w:pPr>
            <w:r>
              <w:rPr/>
              <w:t>  </w:t>
            </w:r>
          </w:p>
        </w:tc>
        <w:tc>
          <w:tcPr>
            <w:tcW w:w="4654" w:type="dxa"/>
            <w:tcBorders/>
          </w:tcPr>
          <w:p>
            <w:pPr>
              <w:pStyle w:val="TableContents"/>
              <w:bidi w:val="0"/>
              <w:spacing w:before="0" w:after="283"/>
              <w:jc w:val="center"/>
              <w:rPr/>
            </w:pPr>
            <w:r>
              <w:rPr/>
              <w:t>5.1</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Incorporation by Reference of Trust Indenture Act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24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i/>
          <w:sz w:val="20"/>
        </w:rPr>
        <w:t>indenture security holder</w:t>
      </w:r>
      <w:r>
        <w:rPr>
          <w:rFonts w:ascii="Times New Roman" w:hAnsi="Times New Roman"/>
          <w:sz w:val="20"/>
        </w:rPr>
        <w:t xml:space="preserve">” means a Securityholder. </w:t>
      </w:r>
    </w:p>
    <w:p>
      <w:pPr>
        <w:pStyle w:val="TextBody"/>
        <w:bidi w:val="0"/>
        <w:spacing w:before="240" w:after="0"/>
        <w:jc w:val="left"/>
        <w:rPr/>
      </w:pPr>
      <w:r>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and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Establishment of Terms of Series of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2.2.6. the right, if any, to defer payment of interest and the maximum length of any such deferral period; </w:t>
      </w:r>
    </w:p>
    <w:p>
      <w:pPr>
        <w:pStyle w:val="TextBody"/>
        <w:bidi w:val="0"/>
        <w:spacing w:before="120" w:after="0"/>
        <w:jc w:val="left"/>
        <w:rPr>
          <w:rFonts w:ascii="Times New Roman" w:hAnsi="Times New Roman"/>
          <w:sz w:val="20"/>
        </w:rPr>
      </w:pPr>
      <w:r>
        <w:rPr>
          <w:rFonts w:ascii="Times New Roman" w:hAnsi="Times New Roman"/>
          <w:sz w:val="20"/>
        </w:rPr>
        <w:t xml:space="preserve">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120" w:after="0"/>
        <w:jc w:val="left"/>
        <w:rPr>
          <w:rFonts w:ascii="Times New Roman" w:hAnsi="Times New Roman"/>
          <w:sz w:val="20"/>
        </w:rPr>
      </w:pPr>
      <w:r>
        <w:rPr>
          <w:rFonts w:ascii="Times New Roman" w:hAnsi="Times New Roman"/>
          <w:sz w:val="20"/>
        </w:rPr>
        <w:t xml:space="preserve">2.2.8. if applicable, the period or periods within which, the price or prices at which and the terms and conditions upon which the Securities of the Series may be redeemed, in whole or in part, at the option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2.2.10. if other than denominations of $1,000 and any integral multiple thereof, the denominations in which the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 </w:t>
      </w:r>
    </w:p>
    <w:p>
      <w:pPr>
        <w:pStyle w:val="TextBody"/>
        <w:bidi w:val="0"/>
        <w:spacing w:before="120" w:after="0"/>
        <w:jc w:val="left"/>
        <w:rPr>
          <w:rFonts w:ascii="Times New Roman" w:hAnsi="Times New Roman"/>
          <w:sz w:val="20"/>
        </w:rPr>
      </w:pPr>
      <w:r>
        <w:rPr>
          <w:rFonts w:ascii="Times New Roman" w:hAnsi="Times New Roman"/>
          <w:sz w:val="20"/>
        </w:rPr>
        <w:t xml:space="preserve">2.2.12. the forms of the Securities of the Series and whether the Securities will be issuable as certificated Securities 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2.2.13.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120" w:after="0"/>
        <w:jc w:val="left"/>
        <w:rPr>
          <w:rFonts w:ascii="Times New Roman" w:hAnsi="Times New Roman"/>
          <w:sz w:val="20"/>
        </w:rPr>
      </w:pPr>
      <w:r>
        <w:rPr>
          <w:rFonts w:ascii="Times New Roman" w:hAnsi="Times New Roman"/>
          <w:sz w:val="20"/>
        </w:rPr>
        <w:t xml:space="preserve">2.2.16. the provisions, if any, relating to any security provided for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 </w:t>
      </w:r>
    </w:p>
    <w:p>
      <w:pPr>
        <w:pStyle w:val="TextBody"/>
        <w:bidi w:val="0"/>
        <w:spacing w:before="120" w:after="0"/>
        <w:jc w:val="left"/>
        <w:rPr>
          <w:rFonts w:ascii="Times New Roman" w:hAnsi="Times New Roman"/>
          <w:sz w:val="20"/>
        </w:rPr>
      </w:pPr>
      <w:r>
        <w:rPr>
          <w:rFonts w:ascii="Times New Roman" w:hAnsi="Times New Roman"/>
          <w:sz w:val="20"/>
        </w:rPr>
        <w:t xml:space="preserve">2.2.18. any Depositaries, interest rate calculation agents, exchange rate calculation agents, conversion agents or other agents with respect to Securities of such Series if other than those appointed herein; </w:t>
      </w:r>
    </w:p>
    <w:p>
      <w:pPr>
        <w:pStyle w:val="TextBody"/>
        <w:bidi w:val="0"/>
        <w:spacing w:before="120" w:after="0"/>
        <w:jc w:val="left"/>
        <w:rPr>
          <w:rFonts w:ascii="Times New Roman" w:hAnsi="Times New Roman"/>
          <w:sz w:val="20"/>
        </w:rPr>
      </w:pPr>
      <w:r>
        <w:rPr>
          <w:rFonts w:ascii="Times New Roman" w:hAnsi="Times New Roman"/>
          <w:sz w:val="20"/>
        </w:rPr>
        <w:t xml:space="preserve">2.2.19. if there is more than one Trustee or a different Trustee, the identity of the Trustee and, if not the Trustee, the identity of each Agent with respect to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2.2.21.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Execution and Authentication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An Officer shall sign the Securities for the Company by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Registrar and Paying Agent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Paying Agent to Hold Money in Trust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Securityholder Lists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Transfer and Exchange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Mutilated, Destroyed, Lost and Stolen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Outstanding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Treasury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Temporary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Cancellation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Defaulted Interest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Global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any Agent shall have any responsibility for any actions taken or not taken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bidi w:val="0"/>
        <w:spacing w:before="24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In addition, so long as the Depository Trust Company (“</w:t>
      </w:r>
      <w:r>
        <w:rPr>
          <w:rFonts w:ascii="Times New Roman" w:hAnsi="Times New Roman"/>
          <w:i/>
          <w:sz w:val="20"/>
        </w:rPr>
        <w:t>DTC</w:t>
      </w:r>
      <w:r>
        <w:rPr>
          <w:rFonts w:ascii="Times New Roman" w:hAnsi="Times New Roman"/>
          <w:sz w:val="20"/>
        </w:rPr>
        <w:t xml:space="preserve">”) is the Depositary, each Global Note registered in the name of DTC or its nominee shall bear a legend in substantially the following form: </w:t>
      </w:r>
    </w:p>
    <w:p>
      <w:pPr>
        <w:pStyle w:val="TextBody"/>
        <w:bidi w:val="0"/>
        <w:spacing w:before="240" w:after="0"/>
        <w:jc w:val="left"/>
        <w:rPr/>
      </w:pPr>
      <w:r>
        <w:rPr/>
        <w:t>“</w:t>
      </w:r>
      <w:r>
        <w:rPr>
          <w:rFonts w:ascii="Times New Roman" w:hAnsi="Times New Roman"/>
          <w:sz w:val="20"/>
        </w:rPr>
        <w:t xml:space="preserve">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(c) The ownership of Global Securities or any Securities issued in certificated form shall be proved by the Registrar. </w:t>
      </w:r>
    </w:p>
    <w:p>
      <w:pPr>
        <w:pStyle w:val="TextBody"/>
        <w:bidi w:val="0"/>
        <w:spacing w:before="120" w:after="0"/>
        <w:jc w:val="left"/>
        <w:rPr>
          <w:rFonts w:ascii="Times New Roman" w:hAnsi="Times New Roman"/>
          <w:sz w:val="20"/>
        </w:rPr>
      </w:pPr>
      <w:r>
        <w:rPr>
          <w:rFonts w:ascii="Times New Roman" w:hAnsi="Times New Roman"/>
          <w:sz w:val="20"/>
        </w:rPr>
        <w:t xml:space="preserve">(d)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bidi w:val="0"/>
        <w:spacing w:before="120" w:after="0"/>
        <w:jc w:val="left"/>
        <w:rPr>
          <w:rFonts w:ascii="Times New Roman" w:hAnsi="Times New Roman"/>
          <w:sz w:val="20"/>
        </w:rPr>
      </w:pPr>
      <w:r>
        <w:rPr>
          <w:rFonts w:ascii="Times New Roman" w:hAnsi="Times New Roman"/>
          <w:sz w:val="20"/>
        </w:rPr>
        <w:t xml:space="preserve">(e)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Consents, Declaration and Directions</w:t>
      </w:r>
      <w:r>
        <w:rPr>
          <w:rFonts w:ascii="Times New Roman" w:hAnsi="Times New Roman"/>
          <w:sz w:val="20"/>
        </w:rPr>
        <w:t xml:space="preserve">.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CUSIP Numbers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hAnsi="Times New Roman"/>
          <w:i/>
          <w:sz w:val="20"/>
        </w:rPr>
        <w:t>pro rata,</w:t>
      </w:r>
      <w:r>
        <w:rPr>
          <w:rFonts w:ascii="Times New Roman" w:hAnsi="Times New Roman"/>
          <w:sz w:val="20"/>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(or manner of calculation if not then known);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bidi w:val="0"/>
        <w:spacing w:before="12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(g) the CUSIP number, if any; and </w:t>
      </w:r>
    </w:p>
    <w:p>
      <w:pPr>
        <w:pStyle w:val="TextBody"/>
        <w:bidi w:val="0"/>
        <w:spacing w:before="12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On or before 11:00 a.m., New York City time, on the redemption date, the Company shall irrevocably deposit with the Paying Agent money sufficient (as determined by the Company) to pay the redemption price of and accrued interest, if any, on all Securities to be redeemed on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 Reports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When Company May Merge, Etc</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Corporation Substituted</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or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(v) generally is unable to pay its debts as the same become due; or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U.S.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losses,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shall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in a court of competent jurisdiction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losses,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or investment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expend or risk its own funds or otherwise incur any financial liability in the performance of any of its duties, or in the exercise of any of its rights or powers.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Registrar and any authenticating agent shall be entitled to the protections and immunities as are set forth in paragraphs (e), (f) and (g) of this Section and in Section 7.2, each with respect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provided that the Trustee’s conduct does not constitute willful misconduct or negligence.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 bond or surety shall be required with respect to performance of Trustee’s duties and powers. </w:t>
      </w:r>
    </w:p>
    <w:p>
      <w:pPr>
        <w:pStyle w:val="TextBody"/>
        <w:bidi w:val="0"/>
        <w:spacing w:before="120" w:after="0"/>
        <w:jc w:val="left"/>
        <w:rPr>
          <w:rFonts w:ascii="Times New Roman" w:hAnsi="Times New Roman"/>
          <w:sz w:val="20"/>
        </w:rPr>
      </w:pPr>
      <w:r>
        <w:rPr>
          <w:rFonts w:ascii="Times New Roman" w:hAnsi="Times New Roman"/>
          <w:sz w:val="20"/>
        </w:rPr>
        <w:t xml:space="preserve">(l) Under no circumstances shall the Trustee be liable in its individual capacity for the obligations evidenced by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(m) Any request or direction of the Company mentioned herein shall be sufficiently evidenced by a Company Order and any resolution of the Board of Directors may be sufficiently evidenced by a Board Resolution. </w:t>
      </w:r>
    </w:p>
    <w:p>
      <w:pPr>
        <w:pStyle w:val="TextBody"/>
        <w:bidi w:val="0"/>
        <w:spacing w:before="120" w:after="0"/>
        <w:jc w:val="left"/>
        <w:rPr>
          <w:rFonts w:ascii="Times New Roman" w:hAnsi="Times New Roman"/>
          <w:sz w:val="20"/>
        </w:rPr>
      </w:pPr>
      <w:r>
        <w:rPr>
          <w:rFonts w:ascii="Times New Roman" w:hAnsi="Times New Roman"/>
          <w:sz w:val="20"/>
        </w:rPr>
        <w:t xml:space="preserve">(n) The Trustee may request that the Company deliver a certificate setting forth the names of individuals and/or titles of officers authorized at such time to take specified actions pursuant to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or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have delivered to the Trustee an Officer’s Certificate and an Opinion of Counsel, each stating that all conditions precedent provided for relating to the satisfaction and discharge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trusts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as evidenced by an Officer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(and if such covenants or events of default are to be for the benefit of less than all Series of Securities, stating that such covenants or events of default, as applicable, are expressly being included solely for the benefit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adversely affect the rights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12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(m) to conform any provision of this Indenture, in so far as it relates to the Securities of such Series, to the description of the Securities of such Series in the prospectus supplement relation to the offering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each Securityholder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Lattice Semiconductor Corporation </w:t>
      </w:r>
    </w:p>
    <w:p>
      <w:pPr>
        <w:pStyle w:val="TextBody"/>
        <w:bidi w:val="0"/>
        <w:spacing w:before="0" w:after="0"/>
        <w:jc w:val="left"/>
        <w:rPr>
          <w:rFonts w:ascii="Times New Roman" w:hAnsi="Times New Roman"/>
          <w:sz w:val="20"/>
        </w:rPr>
      </w:pPr>
      <w:r>
        <w:rPr>
          <w:rFonts w:ascii="Times New Roman" w:hAnsi="Times New Roman"/>
          <w:sz w:val="20"/>
        </w:rPr>
        <w:t xml:space="preserve">5555 NE Moore Court </w:t>
      </w:r>
    </w:p>
    <w:p>
      <w:pPr>
        <w:pStyle w:val="TextBody"/>
        <w:bidi w:val="0"/>
        <w:spacing w:before="0" w:after="0"/>
        <w:jc w:val="left"/>
        <w:rPr>
          <w:rFonts w:ascii="Times New Roman" w:hAnsi="Times New Roman"/>
          <w:sz w:val="20"/>
        </w:rPr>
      </w:pPr>
      <w:r>
        <w:rPr>
          <w:rFonts w:ascii="Times New Roman" w:hAnsi="Times New Roman"/>
          <w:sz w:val="20"/>
        </w:rPr>
        <w:t xml:space="preserve">Hillsboro, Oregon 97124 </w:t>
      </w:r>
    </w:p>
    <w:p>
      <w:pPr>
        <w:pStyle w:val="TextBody"/>
        <w:bidi w:val="0"/>
        <w:spacing w:before="0" w:after="0"/>
        <w:jc w:val="left"/>
        <w:rPr>
          <w:rFonts w:ascii="Times New Roman" w:hAnsi="Times New Roman"/>
          <w:sz w:val="20"/>
        </w:rPr>
      </w:pPr>
      <w:r>
        <w:rPr>
          <w:rFonts w:ascii="Times New Roman" w:hAnsi="Times New Roman"/>
          <w:sz w:val="20"/>
        </w:rPr>
        <w:t xml:space="preserve">Attention: Senior Vice President, General Counsel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Wilson Sonsini Goodrich &amp; Rosati, Professional Corporation </w:t>
      </w:r>
    </w:p>
    <w:p>
      <w:pPr>
        <w:pStyle w:val="TextBody"/>
        <w:bidi w:val="0"/>
        <w:spacing w:before="0" w:after="0"/>
        <w:jc w:val="left"/>
        <w:rPr>
          <w:rFonts w:ascii="Times New Roman" w:hAnsi="Times New Roman"/>
          <w:sz w:val="20"/>
        </w:rPr>
      </w:pPr>
      <w:r>
        <w:rPr>
          <w:rFonts w:ascii="Times New Roman" w:hAnsi="Times New Roman"/>
          <w:sz w:val="20"/>
        </w:rPr>
        <w:t xml:space="preserve">650 Page Mill Road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 </w:t>
      </w:r>
    </w:p>
    <w:p>
      <w:pPr>
        <w:pStyle w:val="TextBody"/>
        <w:bidi w:val="0"/>
        <w:spacing w:before="0" w:after="0"/>
        <w:jc w:val="left"/>
        <w:rPr>
          <w:rFonts w:ascii="Times New Roman" w:hAnsi="Times New Roman"/>
          <w:sz w:val="20"/>
        </w:rPr>
      </w:pPr>
      <w:r>
        <w:rPr>
          <w:rFonts w:ascii="Times New Roman" w:hAnsi="Times New Roman"/>
          <w:sz w:val="20"/>
        </w:rPr>
        <w:t xml:space="preserve">Attention: Tony Jeffries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[__________] </w:t>
      </w:r>
    </w:p>
    <w:p>
      <w:pPr>
        <w:pStyle w:val="TextBody"/>
        <w:bidi w:val="0"/>
        <w:spacing w:before="0" w:after="0"/>
        <w:jc w:val="left"/>
        <w:rPr>
          <w:rFonts w:ascii="Times New Roman" w:hAnsi="Times New Roman"/>
          <w:sz w:val="20"/>
        </w:rPr>
      </w:pPr>
      <w:r>
        <w:rPr>
          <w:rFonts w:ascii="Times New Roman" w:hAnsi="Times New Roman"/>
          <w:sz w:val="20"/>
        </w:rPr>
        <w:t xml:space="preserve">[__________]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[__________]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Any notice or communication delivered to the Trustee shall be deemed effective upon actual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Securityholder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sends a notice or communication to Securityholders, it shall send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he has made such examination or investigation as is necessary to enable him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 meeting of Securityholders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Legal Holiday</w:t>
      </w:r>
      <w:r>
        <w:rPr>
          <w:rFonts w:ascii="Times New Roman" w:hAnsi="Times New Roman"/>
          <w:sz w:val="20"/>
        </w:rPr>
        <w:t xml:space="preserve">” is any day that is not a Business Day. 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Waiver of Jury Trial; Consent to Jurisdiction</w:t>
      </w:r>
      <w:r>
        <w:rPr>
          <w:rFonts w:ascii="Times New Roman" w:hAnsi="Times New Roman"/>
          <w:sz w:val="20"/>
        </w:rPr>
        <w:t>.</w:t>
      </w:r>
    </w:p>
    <w:p>
      <w:pPr>
        <w:pStyle w:val="TextBody"/>
        <w:bidi w:val="0"/>
        <w:spacing w:before="12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 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Satisfaction of Sinking Fund Payments with Securities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0"/>
        <w:gridCol w:w="135"/>
        <w:gridCol w:w="3217"/>
      </w:tblGrid>
      <w:tr>
        <w:trPr/>
        <w:tc>
          <w:tcPr>
            <w:tcW w:w="73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LATTICE SEMICONDUCTOR CORPORATION</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pBdr>
                <w:bottom w:val="single" w:sz="2" w:space="1" w:color="000000"/>
              </w:pBdr>
              <w:bidi w:val="0"/>
              <w:spacing w:before="0" w:after="20"/>
              <w:jc w:val="left"/>
              <w:rPr/>
            </w:pPr>
            <w:r>
              <w:rPr/>
              <w:t> </w:t>
            </w:r>
          </w:p>
        </w:tc>
      </w:tr>
      <w:tr>
        <w:trPr/>
        <w:tc>
          <w:tcPr>
            <w:tcW w:w="73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Name:</w:t>
            </w:r>
          </w:p>
        </w:tc>
      </w:tr>
      <w:tr>
        <w:trPr/>
        <w:tc>
          <w:tcPr>
            <w:tcW w:w="73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24" w:name="d79858dex51.htm"/>
      <w:bookmarkStart w:id="25" w:name="ksd79858dex51"/>
      <w:bookmarkEnd w:id="24"/>
      <w:bookmarkEnd w:id="2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1"/>
        <w:gridCol w:w="120"/>
        <w:gridCol w:w="3064"/>
      </w:tblGrid>
      <w:tr>
        <w:trPr/>
        <w:tc>
          <w:tcPr>
            <w:tcW w:w="70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283"/>
              <w:jc w:val="left"/>
              <w:rPr/>
            </w:pPr>
            <w:r>
              <w:rPr/>
              <w:drawing>
                <wp:inline distT="0" distB="0" distL="0" distR="0">
                  <wp:extent cx="12668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266825" cy="5048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064"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 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650 Page Mill Road</w:t>
            </w:r>
          </w:p>
          <w:p>
            <w:pPr>
              <w:pStyle w:val="TableContents"/>
              <w:bidi w:val="0"/>
              <w:spacing w:before="0" w:after="0"/>
              <w:jc w:val="left"/>
              <w:rPr>
                <w:rFonts w:ascii="Times New Roman" w:hAnsi="Times New Roman"/>
                <w:sz w:val="20"/>
              </w:rPr>
            </w:pPr>
            <w:r>
              <w:rPr>
                <w:rFonts w:ascii="Times New Roman" w:hAnsi="Times New Roman"/>
                <w:sz w:val="20"/>
              </w:rPr>
              <w:t>Palo Alto, CA 94304-1050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O: 650.493.9300 </w:t>
              <w:b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October 13, 2026 </w:t>
      </w:r>
    </w:p>
    <w:p>
      <w:pPr>
        <w:pStyle w:val="TextBody"/>
        <w:bidi w:val="0"/>
        <w:spacing w:before="240" w:after="0"/>
        <w:jc w:val="left"/>
        <w:rPr>
          <w:rFonts w:ascii="Times New Roman" w:hAnsi="Times New Roman"/>
          <w:sz w:val="20"/>
        </w:rPr>
      </w:pPr>
      <w:r>
        <w:rPr>
          <w:rFonts w:ascii="Times New Roman" w:hAnsi="Times New Roman"/>
          <w:sz w:val="20"/>
        </w:rPr>
        <w:t xml:space="preserve">Lattice Semiconductor Corporation </w:t>
      </w:r>
    </w:p>
    <w:p>
      <w:pPr>
        <w:pStyle w:val="TextBody"/>
        <w:bidi w:val="0"/>
        <w:spacing w:before="0" w:after="0"/>
        <w:jc w:val="left"/>
        <w:rPr>
          <w:rFonts w:ascii="Times New Roman" w:hAnsi="Times New Roman"/>
          <w:sz w:val="20"/>
        </w:rPr>
      </w:pPr>
      <w:r>
        <w:rPr>
          <w:rFonts w:ascii="Times New Roman" w:hAnsi="Times New Roman"/>
          <w:sz w:val="20"/>
        </w:rPr>
        <w:t xml:space="preserve">5555 NE Moore Court </w:t>
      </w:r>
    </w:p>
    <w:p>
      <w:pPr>
        <w:pStyle w:val="TextBody"/>
        <w:bidi w:val="0"/>
        <w:spacing w:before="0" w:after="0"/>
        <w:jc w:val="left"/>
        <w:rPr>
          <w:rFonts w:ascii="Times New Roman" w:hAnsi="Times New Roman"/>
          <w:sz w:val="20"/>
        </w:rPr>
      </w:pPr>
      <w:r>
        <w:rPr>
          <w:rFonts w:ascii="Times New Roman" w:hAnsi="Times New Roman"/>
          <w:sz w:val="20"/>
        </w:rPr>
        <w:t xml:space="preserve">Hillsboro, Oregon 97124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At your request, we have examined the Registration Statement on Form S-3 (the “Registration Statement”), filed by Lattice Semiconductor Corporation, a Delaware corporation (the “Company”), with the Securities and Exchange Commission (the “Commission”) in connection with the registration pursuant to the Securities Act of 1933, as amended (the “Act”), of the Securities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an indeterminate amount of (a) shares of the Company’s common stock, $0.01 par value per share (the “Common Stock”); (b) shares of the Company’s preferred stock, $0.01 par value per share (the “Preferred Stock”); (c) the Company’s debt securities (the “Debt Securities”); (d) depositary shares of the Company representing a fractional interest in a share of Preferred Stock (the “Depositary Shares”); (e) warrants to purchase Common Stock, Preferred Stock, Debt Securities or Depositary Shares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“Company Securities”). The Registration Statement also relates to the proposed offer and sale by the selling stockholders (the “Selling Stockholders”), from time to time, pursuant to Rule 415 under the Act, as set forth in the Registration Statement, the Prospectus and one or more Prospectus Supplements, of an indeterminate amount of shares of Common Stock (the “Selling Stockholder Securities,” and together with the Company Securities,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Company Securities 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or the Selling Stockholders, as applicable,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The term “Board” means the Board of Directors of the Company or a duly constituted and acting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such examination,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the shares of Common Stock to be sold by the Company, when: (a)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Common Stock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shares of the Selling Stockholder Securities, the Selling Stockholder Securities have been duly authorized and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Preferred Stock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5. 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and will entitle their holders to the rights specified in the Deposit Agreement and the Depositary Receipts. </w:t>
      </w:r>
    </w:p>
    <w:p>
      <w:pPr>
        <w:pStyle w:val="TextBody"/>
        <w:bidi w:val="0"/>
        <w:spacing w:before="120" w:after="0"/>
        <w:jc w:val="left"/>
        <w:rPr>
          <w:rFonts w:ascii="Times New Roman" w:hAnsi="Times New Roman"/>
          <w:sz w:val="20"/>
        </w:rPr>
      </w:pPr>
      <w:r>
        <w:rPr>
          <w:rFonts w:ascii="Times New Roman" w:hAnsi="Times New Roman"/>
          <w:sz w:val="20"/>
        </w:rPr>
        <w:t xml:space="preserve">6. 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7. 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8. 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9. With respect to the Units, when: (a) the Board has taken all necessary corporate action to approve the issuance and terms of the Units (including any Company Securities underlying the Units) and related matters; and (b) the Units (including any Company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Company Securities underlying the Units) have been duly executed and delivered by the Company and any applicable unit or other agents, then the Units will constitute valid and binding obligations of the Company, enforceable against the Company in accordance with their terms.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bidi w:val="0"/>
        <w:spacing w:before="120" w:after="0"/>
        <w:jc w:val="left"/>
        <w:rPr>
          <w:rFonts w:ascii="Times New Roman" w:hAnsi="Times New Roman"/>
          <w:sz w:val="20"/>
        </w:rPr>
      </w:pPr>
      <w:r>
        <w:rPr>
          <w:rFonts w:ascii="Times New Roman" w:hAnsi="Times New Roman"/>
          <w:sz w:val="20"/>
        </w:rPr>
        <w:t xml:space="preserve">(a) limitations imposed by bankruptcy, insolvency, reorganization, arrangement, fraudulent transfer, moratorium or other similar laws relating to or affecting the rights of creditors generally; </w:t>
      </w:r>
    </w:p>
    <w:p>
      <w:pPr>
        <w:pStyle w:val="TextBody"/>
        <w:bidi w:val="0"/>
        <w:spacing w:before="120" w:after="0"/>
        <w:jc w:val="left"/>
        <w:rPr>
          <w:rFonts w:ascii="Times New Roman" w:hAnsi="Times New Roman"/>
          <w:sz w:val="20"/>
        </w:rPr>
      </w:pPr>
      <w:r>
        <w:rPr>
          <w:rFonts w:ascii="Times New Roman" w:hAnsi="Times New Roman"/>
          <w:sz w:val="20"/>
        </w:rPr>
        <w:t xml:space="preserve">(b) rights to indemnification and contribution, which may be limited by applicable law or equitable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(c) the effect of general principles of equity, including without limitation concepts of materiality, reasonableness, good faith and fair dealing, and the possible unavailability of specific performance or injunctive relief,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laws of any other jurisdiction, other than the federal laws of the United States of America, the laws of the State of New York as to the enforceability of the Debt Securities and the DGCL.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bl>
    <w:p>
      <w:pPr>
        <w:pStyle w:val="TextBody"/>
        <w:bidi w:val="0"/>
        <w:spacing w:before="0" w:after="0"/>
        <w:jc w:val="right"/>
        <w:rPr>
          <w:rFonts w:ascii="Times New Roman" w:hAnsi="Times New Roman"/>
          <w:b/>
          <w:sz w:val="20"/>
        </w:rPr>
      </w:pPr>
      <w:bookmarkStart w:id="26" w:name="d79858dex231.htm"/>
      <w:bookmarkStart w:id="27" w:name="ksd79858dex231"/>
      <w:bookmarkEnd w:id="26"/>
      <w:bookmarkEnd w:id="2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Lattice Semiconductor Corporation for the registration of common stock, preferred stock, debt securities, depositary shares, warrants, subscription rights, purchase contracts, and units and to the incorporation by reference therein of our reports dated February 13, 2026, with respect to the consolidated financial statements of Lattice Semiconductor Corporation, and the effectiveness of internal control over financial reporting of Lattice Semiconductor Corporation, included in its Annual Report (Form 10-K) for the year ended January 3, 2026,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TextBody"/>
        <w:bidi w:val="0"/>
        <w:spacing w:before="0" w:after="0"/>
        <w:jc w:val="right"/>
        <w:rPr>
          <w:rFonts w:ascii="Times New Roman" w:hAnsi="Times New Roman"/>
          <w:b/>
          <w:sz w:val="20"/>
        </w:rPr>
      </w:pPr>
      <w:bookmarkStart w:id="28" w:name="d79858dex232.htm"/>
      <w:bookmarkStart w:id="29" w:name="ksd79858dex232"/>
      <w:bookmarkEnd w:id="28"/>
      <w:bookmarkEnd w:id="29"/>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October 13, 2026, with respect to the consolidated financial statements of AMI TopCo, Inc., incorporated herein by reference, and to the reference to our firm under the heading “Experts” in the prospectus.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Normal"/>
        <w:bidi w:val="0"/>
        <w:spacing w:before="0" w:after="0"/>
        <w:jc w:val="left"/>
        <w:rPr>
          <w:sz w:val="4"/>
          <w:szCs w:val="4"/>
        </w:rPr>
      </w:pPr>
      <w:r>
        <w:rPr>
          <w:sz w:val="4"/>
          <w:szCs w:val="4"/>
        </w:rPr>
      </w:r>
      <w:bookmarkStart w:id="30" w:name="d79858dexfilingfees.htm"/>
      <w:bookmarkStart w:id="31" w:name="ksd79858dexfilingfees"/>
      <w:bookmarkStart w:id="32" w:name="d79858dexfilingfees.htm"/>
      <w:bookmarkStart w:id="33" w:name="ksd79858dexfilingfees"/>
      <w:bookmarkEnd w:id="32"/>
      <w:bookmarkEnd w:id="33"/>
      <w:r>
        <w:br w:type="page"/>
      </w:r>
    </w:p>
    <w:tbl>
      <w:tblPr>
        <w:tblW w:w="4475" w:type="dxa"/>
        <w:jc w:val="left"/>
        <w:tblInd w:w="0" w:type="dxa"/>
        <w:tblLayout w:type="fixed"/>
        <w:tblCellMar>
          <w:top w:w="28" w:type="dxa"/>
          <w:left w:w="28" w:type="dxa"/>
          <w:bottom w:w="28" w:type="dxa"/>
          <w:right w:w="28" w:type="dxa"/>
        </w:tblCellMar>
      </w:tblPr>
      <w:tblGrid>
        <w:gridCol w:w="4321"/>
        <w:gridCol w:w="154"/>
      </w:tblGrid>
      <w:tr>
        <w:trPr/>
        <w:tc>
          <w:tcPr>
            <w:tcW w:w="44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3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283"/>
              <w:jc w:val="left"/>
              <w:rPr>
                <w:b/>
              </w:rPr>
            </w:pPr>
            <w:r>
              <w:rPr>
                <w:b/>
              </w:rPr>
              <w:t xml:space="preserve">LATTICE SEMICONDUCTOR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04" w:type="dxa"/>
        <w:jc w:val="left"/>
        <w:tblInd w:w="0" w:type="dxa"/>
        <w:tblLayout w:type="fixed"/>
        <w:tblCellMar>
          <w:top w:w="28" w:type="dxa"/>
          <w:left w:w="28" w:type="dxa"/>
          <w:bottom w:w="28" w:type="dxa"/>
          <w:right w:w="28" w:type="dxa"/>
        </w:tblCellMar>
      </w:tblPr>
      <w:tblGrid>
        <w:gridCol w:w="1126"/>
        <w:gridCol w:w="226"/>
        <w:gridCol w:w="946"/>
        <w:gridCol w:w="1291"/>
        <w:gridCol w:w="1276"/>
        <w:gridCol w:w="1186"/>
        <w:gridCol w:w="1156"/>
        <w:gridCol w:w="115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4" w:name="MaxAggtOfferingPrice"/>
            <w:bookmarkEnd w:id="34"/>
            <w:r>
              <w:rPr/>
              <w:t xml:space="preserve">$ 0.00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8"/>
        <w:gridCol w:w="8704"/>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2" w:type="dxa"/>
            <w:gridSpan w:val="2"/>
            <w:tcBorders/>
            <w:vAlign w:val="center"/>
          </w:tcPr>
          <w:p>
            <w:pPr>
              <w:pStyle w:val="TableContents"/>
              <w:bidi w:val="0"/>
              <w:spacing w:before="0" w:after="283"/>
              <w:jc w:val="left"/>
              <w:rPr/>
            </w:pPr>
            <w:r>
              <w:rPr/>
              <w:t xml:space="preserve">(1) An indeterminate aggregate initial offering price and number of securities of each identified class is being registered as may from time to time be offered, issued or sold at indeterminate prices. In addition, an indeterminate number of securities that may be issued upon exercise, settlement, conversion or exchange of any offered securities, or pursuant to anti-dilution adjustments, is being registered. Separate consideration may or may not be received for securities that are issuable on exercise, conversion or exchange of other securities. (2) In accordance with Rules 456(b) and 457(r) under the Securities Act, the registrant is deferring payment of the entire registration fee. Any registration fees will be paid subsequently on a "pay-as-you-go" basis.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855658/000143774926004100/lscc20260103_10k.htm" TargetMode="External"/><Relationship Id="rId4" Type="http://schemas.openxmlformats.org/officeDocument/2006/relationships/hyperlink" Target="http://www.sec.gov/Archives/edgar/data/../../../ix?doc=/Archives/edgar/data/0000855658/000143774926014686/lscc20260404_10q.htm" TargetMode="External"/><Relationship Id="rId5" Type="http://schemas.openxmlformats.org/officeDocument/2006/relationships/hyperlink" Target="http://www.sec.gov/Archives/edgar/data/../../../ix?doc=/Archives/edgar/data/855658/000143774926025657/lscc20260704_10q.htm" TargetMode="External"/><Relationship Id="rId6" Type="http://schemas.openxmlformats.org/officeDocument/2006/relationships/hyperlink" Target="http://www.sec.gov/Archives/edgar/data/../../../ix?doc=/Archives/edgar/data/855658/000114036126010150/ny20060701x1_def14a.htm" TargetMode="External"/><Relationship Id="rId7" Type="http://schemas.openxmlformats.org/officeDocument/2006/relationships/hyperlink" Target="http://www.sec.gov/Archives/edgar/data/../../../ix?doc=/Archives/edgar/data/0000855658/000143774926007783/lscc20260311_8k.htm" TargetMode="External"/><Relationship Id="rId8" Type="http://schemas.openxmlformats.org/officeDocument/2006/relationships/hyperlink" Target="http://www.sec.gov/Archives/edgar/data/../../../ix?doc=/Archives/edgar/data/0000855658/000143774926014654/lscc20260408_8k.htm" TargetMode="External"/><Relationship Id="rId9" Type="http://schemas.openxmlformats.org/officeDocument/2006/relationships/hyperlink" Target="http://www.sec.gov/Archives/edgar/data/../../../ix?doc=/Archives/edgar/data/0000855658/000143774926014958/lscc20260504_8k.htm" TargetMode="External"/><Relationship Id="rId10" Type="http://schemas.openxmlformats.org/officeDocument/2006/relationships/hyperlink" Target="http://www.sec.gov/Archives/edgar/data/../../../ix?doc=/Archives/edgar/data/0000855658/000143774926022141/lscc20260629_8k.htm" TargetMode="External"/><Relationship Id="rId11" Type="http://schemas.openxmlformats.org/officeDocument/2006/relationships/hyperlink" Target="http://www.sec.gov/Archives/edgar/data/../../../ix?doc=/Archives/edgar/data/855658/000143774926024519/lscc20260723_8k.htm" TargetMode="External"/><Relationship Id="rId12" Type="http://schemas.openxmlformats.org/officeDocument/2006/relationships/hyperlink" Target="http://www.sec.gov/Archives/edgar/data/../../../ix?doc=/Archives/edgar/data/855658/000119312526420671/d116673d8ka.htm" TargetMode="External"/><Relationship Id="rId13" Type="http://schemas.openxmlformats.org/officeDocument/2006/relationships/hyperlink" Target="http://www.sec.gov/Archives/edgar/data/855658/000143774924004522/ex_603799.htm" TargetMode="External"/><Relationship Id="rId14" Type="http://schemas.openxmlformats.org/officeDocument/2006/relationships/hyperlink" Target="http://www.sec.gov/Archives/edgar/data/../../../ix?doc=/Archives/edgar/data/0000855658/000143774924004522/lscc20231206_10k.htm" TargetMode="External"/><Relationship Id="rId15" Type="http://schemas.openxmlformats.org/officeDocument/2006/relationships/hyperlink" Target="http://www.sec.gov/Archives/edgar/data/855658/000119312509125294/dex31.htm" TargetMode="External"/><Relationship Id="rId16" Type="http://schemas.openxmlformats.org/officeDocument/2006/relationships/hyperlink" Target="http://www.sec.gov/Archives/edgar/data/855658/000143774923034570/ex_607151.htm" TargetMode="External"/><Relationship Id="rId17" Type="http://schemas.openxmlformats.org/officeDocument/2006/relationships/hyperlink" Target="http://www.sec.gov/Archives/edgar/data/855658/000143774924004522/ex_603799.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44778</Words>
  <Characters>231204</Characters>
  <CharactersWithSpaces>276711</CharactersWithSpaces>
  <Paragraphs>3165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