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lscc20260723_8k.htm"/>
      <w:bookmarkStart w:id="1" w:name="kslscc20260723_8k"/>
      <w:bookmarkEnd w:id="0"/>
      <w:bookmarkEnd w:id="1"/>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 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CURRENT REPORT</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Pursuant to Section 13 or 15(d) of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July 27,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Lattice Semiconductor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21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000-18032</w:t>
            </w:r>
          </w:p>
        </w:tc>
        <w:tc>
          <w:tcPr>
            <w:tcW w:w="2765" w:type="dxa"/>
            <w:tcBorders/>
            <w:vAlign w:val="center"/>
          </w:tcPr>
          <w:p>
            <w:pPr>
              <w:pStyle w:val="TableContents"/>
              <w:bidi w:val="0"/>
              <w:spacing w:before="0" w:after="283"/>
              <w:jc w:val="center"/>
              <w:rPr>
                <w:b/>
              </w:rPr>
            </w:pPr>
            <w:r>
              <w:rPr>
                <w:b/>
              </w:rPr>
              <w:t>93-0835214</w:t>
            </w:r>
          </w:p>
        </w:tc>
      </w:tr>
      <w:tr>
        <w:trPr/>
        <w:tc>
          <w:tcPr>
            <w:tcW w:w="3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5555 NE Moore Court</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Hillsboro, Oregon 97124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(503) 268-8000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 </w:t>
      </w:r>
    </w:p>
    <w:tbl>
      <w:tblPr>
        <w:tblW w:w="7440" w:type="dxa"/>
        <w:jc w:val="left"/>
        <w:tblInd w:w="0" w:type="dxa"/>
        <w:tblLayout w:type="fixed"/>
        <w:tblCellMar>
          <w:top w:w="0" w:type="dxa"/>
          <w:left w:w="0" w:type="dxa"/>
          <w:bottom w:w="0" w:type="dxa"/>
          <w:right w:w="0" w:type="dxa"/>
        </w:tblCellMar>
      </w:tblPr>
      <w:tblGrid>
        <w:gridCol w:w="2525"/>
        <w:gridCol w:w="1340"/>
        <w:gridCol w:w="3575"/>
      </w:tblGrid>
      <w:tr>
        <w:trPr/>
        <w:tc>
          <w:tcPr>
            <w:tcW w:w="2525"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75" w:type="dxa"/>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$.01 par value</w:t>
            </w:r>
          </w:p>
        </w:tc>
        <w:tc>
          <w:tcPr>
            <w:tcW w:w="1340" w:type="dxa"/>
            <w:tcBorders/>
            <w:vAlign w:val="center"/>
          </w:tcPr>
          <w:p>
            <w:pPr>
              <w:pStyle w:val="TableContents"/>
              <w:bidi w:val="0"/>
              <w:spacing w:before="0" w:after="283"/>
              <w:jc w:val="center"/>
              <w:rPr/>
            </w:pPr>
            <w:r>
              <w:rPr/>
              <w:t>LSCC</w:t>
            </w:r>
          </w:p>
        </w:tc>
        <w:tc>
          <w:tcPr>
            <w:tcW w:w="3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2.01. Completion of Acquisition or Disposition of Assets.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27, 2026, Lattice Semiconductor Corporation, a Delaware corporation (“Lattice” or the “Company”), completed the previously disclosed transactions contemplated by that certain Agreement and Plan of Merger by and among the Company, certain of its wholly owned subsidiaries, AMI TopCo, Inc. (“AMI”) and THL AMI Aggregator, LP (“THL”) (solely in its capacity as the representative of securityholders of AMI), dated as of May 4, 2026 (the “Merger Agreement”). Under the terms of the Merger Agreement, the Company acquired AMI (the “Acquisition”) for total consideration of approximately $1 billion in cash and approximately 5.2 million shares of Lattice common stock and restricted stock units, subject to adjustments set forth in the Merger Agreement, including for AMI’s working capital, transaction expenses, cash and indebtedness as of the closing (the “Aggregate Consideration”). A portion of the Aggregate Consideration will be held in escrow to serve as security for potential adjustments to the Aggregate Consideration and indemnification claims under the Merger Agreement following the completion of the Acquisition, in each case on the terms and subject to the conditions set forth therein. The Company funded the cash consideration for the Acquisition (including refinancing outstanding indebtedness of AMI) from cash on hand and borrowings pursuant to the previously disclosed Second Amended and Restated Credit Agreement (“Credit Agreement”), among the Company, the lenders party thereto and Wells Fargo Bank, National Association, as administrative agent, dated as of June 30, 2026. The Company is granting additional Lattice restricted stock units to AMI employees in connection with the completion of the transaction, subject to certain vesting and other terms and conditions.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previously disclosed, in connection with the Acquisition, the Company and THL entered into a registration rights agreement (the “Registration Rights Agreement”), which provides for customary registration rights with respect to the shares of the Company’s common stock issued to THL as consideration for the Acquisition. Pursuant to the Registration Rights Agreement, THL and its affiliates will collectively be entitled to two underwritten block trades. In addition, as part of the Acquisition, THL and the other stockholders of AMI are agreeing to certain transfer restrictions with respect to the shares of the Company’s common stock issued as consideration for the Acquisition, with 25% of the shares released from the transfer restrictions upon the completion of each successive 90-day period following the completion of the Acquisition and a release in full from the transfer restrictions on the one-year anniversary of the completion of the Acquisition.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foregoing descriptions of the Merger Agreement, the Registration Rights Agreement and the transactions contemplated thereby do not purport to be complete and are subject to, and qualified in their entirety by reference to, the full text of the Merger Agreement and the Registration Rights Agreement, respectively, copies of which will be filed on the Company’s Form 10-Q for the quarter ended July 4, 2026. A copy of the Merger Agreement is filed to provide investors with information regarding its terms and is not intended to provide any factual information about any party to the Merger Agreement or its affiliates. The representations, warranties and covenants contained in the Merger Agreement (a) have been made solely for the purposes of the Merger Agreement and as of specific dates; (b) were made solely for the benefit of the parties to the Merger Agreement, on the terms and subject to the conditions set forth in the Merger Agreement; (c) are not intended as statements of fact to be relied upon by any person other than a party to the Merger Agreement, but rather as a way of allocating the risk between the parties if the statements prove to be inaccurate; (d) may have been modified or qualified by confidential disclosures that were made between the parties to the Merger Agreement, which disclosures are not reflected in the Merger Agreement itself; (e) may no longer be true as of a given date; and (f) may apply standards of materiality in a way that is different from what may be viewed as material by investors. Investors should not rely on the representations, warranties and covenants, or any descriptions or summaries, as characterizations of the actual state of facts or condition of any party to the Merger Agreement or its affiliates. Moreover, information concerning the subject matter of the representations and warranties may change after the date of the Merger Agreement, which subsequent information may or may not be fully reflected in the Company’s public disclosures.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previously disclosed, on June 30, 2026, the Company entered into the Credit Agreement, which provides for a senior secured revolving loan facility in an aggregate principal amount of $200.0 million dollars and a senior secured delayed draw term loan facility in an aggregate principal amount of $950.0 million dollars. In connection with the closing of the Acquisition, on July 27, 2026, the Company borrowed $925.0 million aggregate principal amount of loans under the delayed draw term loan facility pursuant to the Credit Agreement. A portion of the proceeds of the borrowings were used to fund the cash consideration for the Acquisition.</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foregoing descriptions of the Credit Agreement and the transactions contemplated thereby do not purport to be complete and are subject to, and qualified in their entirety by reference to, the full text of the Credit Agreement, a copy of which will be filed on the Company’s Form 10-Q for the quarter ended July 4, 2026.</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3.02. Unregistered Sales of Equity Securities.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information contained in Item 2.01 is incorporated herein by reference.</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described in Item 2.01, under the terms of the Merger Agreement, on July 27, 2026, the Company issued 4,741,352 shares of Lattice common stock. This issuance and sale were exempt from registration under the Securities Act of 1933, as amended (the “Securities Act”), pursuant to Section 4(a)(2) of the Securities Act. Accordingly, the offer and sale of shares of the Company’s common stock have not been registered under the Securities Act and such shares may not be offered or sold in the United States except pursuant to an effective registration statement or applicable exemption from the registration requirements of the Securities Act and any applicable state securities laws.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27, 2026, the compensation committee of the Company’s board of directors (the “Board”) approved an amendment to the Lattice Semiconductor Corporation 2025 Inducement Equity Incentive Plan (the “Inducement Plan”) to increase the number of shares of the Company’s common stock reserved for issuance pursuant to equity awards granted under the Inducement Plan from 2,000,000 shares to 2,625,967 shares, subject to the adjustment provisions of the Inducement Plan.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amendment to the Inducement Plan was adopted without stockholder approval pursuant to Rule 5635(c)(4) of the Nasdaq Listing Rules. The Inducement Plan, as amended, provides for the grant of equity-based awards, including nonstatutory stock options, restricted stock, restricted stock units, stock appreciation rights, performance units, performance shares and other stock or cash-based awards, and its terms are substantially similar to the Company’s 2023 Equity Incentive Plan, including with respect to treatment of equity awards in the event of a merger or “change in control” as defined under the Inducement Plan, but with such other terms and conditions intended to comply with the Nasdaq inducement award exception.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accordance with Rule 5635(c)(4) of the Nasdaq Listing Rules, awards under the Inducement Plan, as amended,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copy of the Inducement Plan, as amended, and related form agreements under the Inducement Plan, as amended, are attached as Exhibit 10.1 hereto and incorporated by reference herein. The above description of the Inducement Plan, as amended, does not purport to be complete and is qualified in its entirety by reference to such exhibit.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7.01. Regulation FD Disclosure.</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27, 2026, the Company issued a press release announcing the closing of the Acquisition. A copy of the press release is furnished herewith as Exhibit 99.1.</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information set forth under this Item 7.01, including Exhibit 99.1, shall not be deemed “filed” for purposes of Section 18 of the Securities Exchange Act of 1934, as amended (the “Exchange Act”), or incorporated by reference in any filing under the Securities Act or the Exchange Act, except as shall be expressly set forth by specific reference in such a filing.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9.01. Financial Statements and Exhibits.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(a) Financial statements of businesses or funds acquired.</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financial statements of AMI required by this Item 9.01(a) will be filed by amendment to this Current Report on Form 8-K no later than 71 calendar days after the date on which this Current Report on Form 8-K is required to be filed.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(b) Pro forma financial information.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unaudited pro forma financial information required by this Item 9.01(b) will be filed by amendment to this Current Report on Form 8-K no later than 71 calendar days after the date on which this Current Report on Form 8-K is required to be filed.</w:t>
      </w:r>
    </w:p>
    <w:p>
      <w:pPr>
        <w:pStyle w:val="TextBody"/>
        <w:bidi w:val="0"/>
        <w:spacing w:before="0" w:after="0"/>
        <w:ind w:left="0" w:right="0" w:firstLine="360"/>
        <w:jc w:val="left"/>
        <w:rPr/>
      </w:pPr>
      <w:r>
        <w:rPr/>
        <w:t> </w:t>
      </w:r>
    </w:p>
    <w:p>
      <w:pPr>
        <w:pStyle w:val="TextBody"/>
        <w:bidi w:val="0"/>
        <w:spacing w:before="0" w:after="0"/>
        <w:ind w:left="0" w:right="0" w:hanging="0"/>
        <w:jc w:val="center"/>
        <w:rPr/>
      </w:pPr>
      <w: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exhibits are being furnished herewith:</w:t>
      </w:r>
    </w:p>
    <w:p>
      <w:pPr>
        <w:pStyle w:val="TextBody"/>
        <w:bidi w:val="0"/>
        <w:spacing w:before="0" w:after="0"/>
        <w:ind w:left="0" w:right="0" w:hanging="0"/>
        <w:jc w:val="left"/>
        <w:rPr/>
      </w:pPr>
      <w:r>
        <w:rPr/>
        <w:t> </w:t>
      </w:r>
    </w:p>
    <w:tbl>
      <w:tblPr>
        <w:tblW w:w="9115" w:type="dxa"/>
        <w:jc w:val="left"/>
        <w:tblInd w:w="0" w:type="dxa"/>
        <w:tblLayout w:type="fixed"/>
        <w:tblCellMar>
          <w:top w:w="0" w:type="dxa"/>
          <w:left w:w="0" w:type="dxa"/>
          <w:bottom w:w="0" w:type="dxa"/>
          <w:right w:w="0" w:type="dxa"/>
        </w:tblCellMar>
      </w:tblPr>
      <w:tblGrid>
        <w:gridCol w:w="1385"/>
        <w:gridCol w:w="60"/>
        <w:gridCol w:w="7670"/>
      </w:tblGrid>
      <w:tr>
        <w:trPr/>
        <w:tc>
          <w:tcPr>
            <w:tcW w:w="1385"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Exhibit Number</w:t>
            </w:r>
          </w:p>
        </w:tc>
        <w:tc>
          <w:tcPr>
            <w:tcW w:w="60" w:type="dxa"/>
            <w:tcBorders/>
            <w:vAlign w:val="center"/>
          </w:tcPr>
          <w:p>
            <w:pPr>
              <w:pStyle w:val="TableContents"/>
              <w:bidi w:val="0"/>
              <w:spacing w:before="0" w:after="0"/>
              <w:ind w:left="0" w:right="0" w:hanging="0"/>
              <w:jc w:val="left"/>
              <w:rPr/>
            </w:pPr>
            <w:r>
              <w:rPr/>
              <w:t> </w:t>
            </w:r>
          </w:p>
        </w:tc>
        <w:tc>
          <w:tcPr>
            <w:tcW w:w="7670" w:type="dxa"/>
            <w:tcBorders/>
            <w:vAlign w:val="center"/>
          </w:tcPr>
          <w:p>
            <w:pPr>
              <w:pStyle w:val="TableContents"/>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Exhibit Description</w:t>
            </w:r>
          </w:p>
        </w:tc>
      </w:tr>
      <w:tr>
        <w:trPr/>
        <w:tc>
          <w:tcPr>
            <w:tcW w:w="1385"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hyperlink w:anchor="ex_993742.htm">
              <w:r>
                <w:rPr>
                  <w:rStyle w:val="InternetLink"/>
                </w:rPr>
                <w:t>Amended and Restated 2025 Inducement Equity Incentive Plan.</w:t>
              </w:r>
            </w:hyperlink>
          </w:p>
        </w:tc>
      </w:tr>
      <w:tr>
        <w:trPr/>
        <w:tc>
          <w:tcPr>
            <w:tcW w:w="1385" w:type="dxa"/>
            <w:tcBorders/>
            <w:vAlign w:val="center"/>
          </w:tcPr>
          <w:p>
            <w:pPr>
              <w:pStyle w:val="TableContents"/>
              <w:bidi w:val="0"/>
              <w:spacing w:before="0" w:after="283"/>
              <w:jc w:val="center"/>
              <w:rPr/>
            </w:pPr>
            <w:r>
              <w:rPr/>
              <w:t>99.1</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hyperlink w:anchor="ex_993320.htm">
              <w:r>
                <w:rPr>
                  <w:rStyle w:val="InternetLink"/>
                </w:rPr>
                <w:t>Press Release issued by Lattice Semiconductor Corporation dated July 27, 2026.</w:t>
              </w:r>
            </w:hyperlink>
          </w:p>
        </w:tc>
      </w:tr>
      <w:tr>
        <w:trPr/>
        <w:tc>
          <w:tcPr>
            <w:tcW w:w="1385"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rPr/>
      </w:pPr>
      <w:r>
        <w:rPr/>
        <w:t> </w:t>
      </w:r>
    </w:p>
    <w:p>
      <w:pPr>
        <w:pStyle w:val="TextBody"/>
        <w:bidi w:val="0"/>
        <w:spacing w:before="0" w:after="0"/>
        <w:ind w:left="0" w:right="0" w:firstLine="90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984" w:type="dxa"/>
        <w:jc w:val="left"/>
        <w:tblInd w:w="0" w:type="dxa"/>
        <w:tblLayout w:type="fixed"/>
        <w:tblCellMar>
          <w:top w:w="30" w:type="dxa"/>
          <w:left w:w="30" w:type="dxa"/>
          <w:bottom w:w="30" w:type="dxa"/>
          <w:right w:w="30" w:type="dxa"/>
        </w:tblCellMar>
      </w:tblPr>
      <w:tblGrid>
        <w:gridCol w:w="530"/>
        <w:gridCol w:w="1190"/>
        <w:gridCol w:w="409"/>
        <w:gridCol w:w="3855"/>
      </w:tblGrid>
      <w:tr>
        <w:trPr/>
        <w:tc>
          <w:tcPr>
            <w:tcW w:w="53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left"/>
              <w:rPr/>
            </w:pPr>
            <w:r>
              <w:rPr/>
              <w:t> </w:t>
            </w:r>
          </w:p>
        </w:tc>
        <w:tc>
          <w:tcPr>
            <w:tcW w:w="4264"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LATTICE SEMICONDUCTOR CORPORATION</w:t>
            </w:r>
          </w:p>
        </w:tc>
      </w:tr>
      <w:tr>
        <w:trPr/>
        <w:tc>
          <w:tcPr>
            <w:tcW w:w="53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55"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Tracy Feanny</w:t>
            </w:r>
          </w:p>
        </w:tc>
      </w:tr>
      <w:tr>
        <w:trPr/>
        <w:tc>
          <w:tcPr>
            <w:tcW w:w="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27, 2026</w:t>
            </w:r>
          </w:p>
        </w:tc>
        <w:tc>
          <w:tcPr>
            <w:tcW w:w="409" w:type="dxa"/>
            <w:tcBorders/>
            <w:vAlign w:val="center"/>
          </w:tcPr>
          <w:p>
            <w:pPr>
              <w:pStyle w:val="TableContents"/>
              <w:bidi w:val="0"/>
              <w:spacing w:before="0" w:after="0"/>
              <w:ind w:left="0" w:right="0" w:hanging="0"/>
              <w:jc w:val="left"/>
              <w:rPr/>
            </w:pPr>
            <w:r>
              <w:rPr/>
              <w:t> </w:t>
            </w:r>
          </w:p>
        </w:tc>
        <w:tc>
          <w:tcPr>
            <w:tcW w:w="3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Tracy Feanny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General Counsel</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xml:space="preserve">4 </w:t>
      </w:r>
    </w:p>
    <w:p>
      <w:pPr>
        <w:pStyle w:val="TextBody"/>
        <w:bidi w:val="0"/>
        <w:spacing w:before="0" w:after="0"/>
        <w:ind w:left="0" w:right="0" w:hanging="0"/>
        <w:jc w:val="left"/>
        <w:rPr>
          <w:caps w:val="false"/>
          <w:smallCaps w:val="false"/>
        </w:rPr>
      </w:pPr>
      <w:bookmarkStart w:id="2" w:name="ex_993742.htm"/>
      <w:bookmarkStart w:id="3" w:name="ksex_993742"/>
      <w:bookmarkEnd w:id="2"/>
      <w:bookmarkEnd w:id="3"/>
      <w:r>
        <w:rPr>
          <w:caps w:val="false"/>
          <w:smallCaps w:val="false"/>
        </w:rPr>
        <w:t> </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LATTICE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amended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Purpose of the Plan</w:t>
      </w:r>
      <w:r>
        <w:rPr>
          <w:rFonts w:ascii="Times New Roman" w:hAnsi="Times New Roman"/>
          <w:caps w:val="false"/>
          <w:smallCaps w:val="false"/>
          <w:sz w:val="20"/>
        </w:rPr>
        <w:t>. The purpose of this Plan is to attract and retain the best available personnel for positions of substantial responsibility by providing an inducement material to individuals entering into employment with the Company or any Parent or Subsidiary of the Company, including grants to new employees in connection with a merger 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The Plan permits the grant of Nonstatutory Stock Options, Restricted Stock, Restricted Stock Units, Stock Appreciation Rights, Performance Units, Performance Shares and other stock or cash-based Awards. Each Award under the Plan is intended to qualify as an employment inducement award under Nasdaq Listing Rule 5635(c)(4) and the official regulations and other official interpretive material and guidance issued under such rule (together, the “</w:t>
      </w:r>
      <w:r>
        <w:rPr>
          <w:rFonts w:ascii="Times New Roman" w:hAnsi="Times New Roman"/>
          <w:caps w:val="false"/>
          <w:smallCaps w:val="false"/>
          <w:sz w:val="20"/>
          <w:u w:val="single"/>
        </w:rPr>
        <w:t>Inducement Listing Rule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Definitions</w:t>
      </w:r>
      <w:r>
        <w:rPr>
          <w:rFonts w:ascii="Times New Roman" w:hAnsi="Times New Roman"/>
          <w:caps w:val="false"/>
          <w:smallCaps w:val="false"/>
          <w:sz w:val="20"/>
        </w:rPr>
        <w:t>. The following definitions are used in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Administrator</w:t>
      </w:r>
      <w:r>
        <w:rPr>
          <w:rFonts w:ascii="Times New Roman" w:hAnsi="Times New Roman"/>
          <w:caps w:val="false"/>
          <w:smallCaps w:val="false"/>
          <w:sz w:val="20"/>
        </w:rPr>
        <w:t>” means the Board or any Committees as will be administering the Plan, in accordance with Section 4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Applicable Laws</w:t>
      </w:r>
      <w:r>
        <w:rPr>
          <w:rFonts w:ascii="Times New Roman" w:hAnsi="Times New Roman"/>
          <w:caps w:val="false"/>
          <w:smallCaps w:val="false"/>
          <w:sz w:val="20"/>
        </w:rPr>
        <w:t>” 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will include such section or regulation, any valid regulation or other official guidance issued under that section, and any comparable provision of any future legislation or regulation amending, supplementing or superseding that section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Award</w:t>
      </w:r>
      <w:r>
        <w:rPr>
          <w:rFonts w:ascii="Times New Roman" w:hAnsi="Times New Roman"/>
          <w:caps w:val="false"/>
          <w:smallCaps w:val="false"/>
          <w:sz w:val="20"/>
        </w:rPr>
        <w:t>” means, individually or collectively, a grant under the Plan of Options, Stock Appreciation Rights, Restricted Stock, Restricted Stock Units, Performance Units, Performance Shares or other stock or cash-based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Award Agreement</w:t>
      </w:r>
      <w:r>
        <w:rPr>
          <w:rFonts w:ascii="Times New Roman" w:hAnsi="Times New Roman"/>
          <w:caps w:val="false"/>
          <w:smallCaps w:val="false"/>
          <w:sz w:val="20"/>
        </w:rPr>
        <w:t>” means the written or electronic agreement between the Company and Participant setting forth the terms and provisions applicable to an Award granted under the Plan. The Award Agreement is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Board</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Change in Control</w:t>
      </w:r>
      <w:r>
        <w:rPr>
          <w:rFonts w:ascii="Times New Roman" w:hAnsi="Times New Roman"/>
          <w:caps w:val="false"/>
          <w:smallCaps w:val="false"/>
          <w:sz w:val="20"/>
        </w:rPr>
        <w:t>” 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Change in Ownership of the Company</w:t>
      </w:r>
      <w:r>
        <w:rPr>
          <w:rFonts w:ascii="Times New Roman" w:hAnsi="Times New Roman"/>
          <w:caps w:val="false"/>
          <w:smallCaps w:val="false"/>
          <w:sz w:val="20"/>
        </w:rPr>
        <w:t>. A change in the ownership of the Company which occurs on the date that any one person, or more than one person acting as a group (“</w:t>
      </w:r>
      <w:r>
        <w:rPr>
          <w:rFonts w:ascii="Times New Roman" w:hAnsi="Times New Roman"/>
          <w:caps w:val="false"/>
          <w:smallCaps w:val="false"/>
          <w:sz w:val="20"/>
          <w:u w:val="single"/>
        </w:rPr>
        <w:t>Person</w:t>
      </w:r>
      <w:r>
        <w:rPr>
          <w:rFonts w:ascii="Times New Roman" w:hAnsi="Times New Roman"/>
          <w:caps w:val="false"/>
          <w:smallCaps w:val="false"/>
          <w:sz w:val="20"/>
        </w:rPr>
        <w:t>”),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Change in Effective Control of the Company</w:t>
      </w:r>
      <w:r>
        <w:rPr>
          <w:rFonts w:ascii="Times New Roman" w:hAnsi="Times New Roman"/>
          <w:caps w:val="false"/>
          <w:smallCaps w:val="false"/>
          <w:sz w:val="20"/>
        </w:rPr>
        <w:t>. 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Change in Ownership of a Substantial Portion of the Company’s Assets</w:t>
      </w:r>
      <w:r>
        <w:rPr>
          <w:rFonts w:ascii="Times New Roman" w:hAnsi="Times New Roman"/>
          <w:caps w:val="false"/>
          <w:smallCaps w:val="false"/>
          <w:sz w:val="20"/>
        </w:rPr>
        <w:t>.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Notwithstanding the foregoing, a transaction will not be deemed a Change in Control unless the transaction qualifies as a change in control event within the meaning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Code</w:t>
      </w:r>
      <w:r>
        <w:rPr>
          <w:rFonts w:ascii="Times New Roman" w:hAnsi="Times New Roman"/>
          <w:caps w:val="false"/>
          <w:smallCaps w:val="false"/>
          <w:sz w:val="20"/>
        </w:rPr>
        <w:t>” means the U.S.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Committee</w:t>
      </w:r>
      <w:r>
        <w:rPr>
          <w:rFonts w:ascii="Times New Roman" w:hAnsi="Times New Roman"/>
          <w:caps w:val="false"/>
          <w:smallCaps w:val="false"/>
          <w:sz w:val="20"/>
        </w:rPr>
        <w:t>” means a committee of one or more Directors or of one or more other individuals satisfying Applicable Laws appointed by the Board, or a duly authorized committee of the Board, in accordance with Section 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Company</w:t>
      </w:r>
      <w:r>
        <w:rPr>
          <w:rFonts w:ascii="Times New Roman" w:hAnsi="Times New Roman"/>
          <w:caps w:val="false"/>
          <w:smallCaps w:val="false"/>
          <w:sz w:val="20"/>
        </w:rPr>
        <w:t>” means Lattice Semiconductor Corporation, a Delaware corporation,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Consultant</w:t>
      </w:r>
      <w:r>
        <w:rPr>
          <w:rFonts w:ascii="Times New Roman" w:hAnsi="Times New Roman"/>
          <w:caps w:val="false"/>
          <w:smallCaps w:val="false"/>
          <w:sz w:val="20"/>
        </w:rPr>
        <w:t>” 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Director</w:t>
      </w:r>
      <w:r>
        <w:rPr>
          <w:rFonts w:ascii="Times New Roman" w:hAnsi="Times New Roman"/>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Disability</w:t>
      </w:r>
      <w:r>
        <w:rPr>
          <w:rFonts w:ascii="Times New Roman" w:hAnsi="Times New Roman"/>
          <w:caps w:val="false"/>
          <w:smallCaps w:val="false"/>
          <w:sz w:val="20"/>
        </w:rPr>
        <w:t>” means total and permanent disability as defined in Section 22(e)(3) of the Code, provided that the Administrator in its discretion may determine whether a permanent and total disability exists in accordance with uniform and non-discriminatory standards adopted by the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Employee</w:t>
      </w:r>
      <w:r>
        <w:rPr>
          <w:rFonts w:ascii="Times New Roman" w:hAnsi="Times New Roman"/>
          <w:caps w:val="false"/>
          <w:smallCaps w:val="false"/>
          <w:sz w:val="20"/>
        </w:rPr>
        <w:t>” 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 However, for the avoidance of doubt, a person who already is serving as a Director prior to becoming an Employee will not be eligible to be granted an Award under the Plan unless permitted under the Inducement Listing Rule.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Exchange Program</w:t>
      </w:r>
      <w:r>
        <w:rPr>
          <w:rFonts w:ascii="Times New Roman" w:hAnsi="Times New Roman"/>
          <w:caps w:val="false"/>
          <w:smallCaps w:val="false"/>
          <w:sz w:val="20"/>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4(h), the Administrator may not institute an Exchange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Fair Market Value</w:t>
      </w:r>
      <w:r>
        <w:rPr>
          <w:rFonts w:ascii="Times New Roman" w:hAnsi="Times New Roman"/>
          <w:caps w:val="false"/>
          <w:smallCaps w:val="false"/>
          <w:sz w:val="20"/>
        </w:rPr>
        <w:t>” means, as of any date, the value of Common Stock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    If the Common Stock is listed on any established stock exchange or a national market system, including without limitation the Nasdaq Global Select Market, the Nasdaq Global Market or the Nasdaq Capital Market of the Nasdaq 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    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(iii)    In the absence of an established market for the Common Stock, the Fair Market Value will be determined in good faith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If the Fair Market Value is to be determined under subsection (i) or (ii) above and the determination date for the Fair Market Value occurs on a day other than a Trading Day, the 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Fiscal Year</w:t>
      </w:r>
      <w:r>
        <w:rPr>
          <w:rFonts w:ascii="Times New Roman" w:hAnsi="Times New Roman"/>
          <w:caps w:val="false"/>
          <w:smallCaps w:val="false"/>
          <w:sz w:val="20"/>
        </w:rPr>
        <w:t>” means the fiscal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Grant Date</w:t>
      </w:r>
      <w:r>
        <w:rPr>
          <w:rFonts w:ascii="Times New Roman" w:hAnsi="Times New Roman"/>
          <w:caps w:val="false"/>
          <w:smallCaps w:val="false"/>
          <w:sz w:val="20"/>
        </w:rPr>
        <w:t>” means the date that the Administrator makes the determination granting such Award or a later date if such later date is designated by the Administrator on the date of the determination or under an automatic grant policy. Notice of the determination will be provided to each Participant within a reasonable time after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Incentive Stock Option</w:t>
      </w:r>
      <w:r>
        <w:rPr>
          <w:rFonts w:ascii="Times New Roman" w:hAnsi="Times New Roman"/>
          <w:caps w:val="false"/>
          <w:smallCaps w:val="false"/>
          <w:sz w:val="20"/>
        </w:rPr>
        <w:t>” means an Option that is intended to qualify, and actually qualifies, as an incentive stock option within the meaning of Section 422 of the Code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Inside Director</w:t>
      </w:r>
      <w:r>
        <w:rPr>
          <w:rFonts w:ascii="Times New Roman" w:hAnsi="Times New Roman"/>
          <w:caps w:val="false"/>
          <w:smallCaps w:val="false"/>
          <w:sz w:val="20"/>
        </w:rPr>
        <w:t>” means a Director who is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Nonstatutory Stock Option</w:t>
      </w:r>
      <w:r>
        <w:rPr>
          <w:rFonts w:ascii="Times New Roman" w:hAnsi="Times New Roman"/>
          <w:caps w:val="false"/>
          <w:smallCaps w:val="false"/>
          <w:sz w:val="20"/>
        </w:rPr>
        <w:t>” means an Option that by its terms does not qualify or is not intended to qualify as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Officer</w:t>
      </w:r>
      <w:r>
        <w:rPr>
          <w:rFonts w:ascii="Times New Roman" w:hAnsi="Times New Roman"/>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caps w:val="false"/>
          <w:smallCaps w:val="false"/>
          <w:sz w:val="20"/>
          <w:u w:val="single"/>
        </w:rPr>
        <w:t>Option</w:t>
      </w:r>
      <w:r>
        <w:rPr>
          <w:rFonts w:ascii="Times New Roman" w:hAnsi="Times New Roman"/>
          <w:caps w:val="false"/>
          <w:smallCaps w:val="false"/>
          <w:sz w:val="20"/>
        </w:rPr>
        <w:t>” means a stock option granted pursuant to the Plan. All Options granted under the Plan will be Nonstatutory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caps w:val="false"/>
          <w:smallCaps w:val="false"/>
          <w:sz w:val="20"/>
          <w:u w:val="single"/>
        </w:rPr>
        <w:t>Parent</w:t>
      </w:r>
      <w:r>
        <w:rPr>
          <w:rFonts w:ascii="Times New Roman" w:hAnsi="Times New Roman"/>
          <w:caps w:val="false"/>
          <w:smallCaps w:val="false"/>
          <w:sz w:val="20"/>
        </w:rPr>
        <w:t>” means a “parent corporation” as defined in Section 424(e) of the Code, whether now or hereafter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caps w:val="false"/>
          <w:smallCaps w:val="false"/>
          <w:sz w:val="20"/>
          <w:u w:val="single"/>
        </w:rPr>
        <w:t>Participant</w:t>
      </w:r>
      <w:r>
        <w:rPr>
          <w:rFonts w:ascii="Times New Roman" w:hAnsi="Times New Roman"/>
          <w:caps w:val="false"/>
          <w:smallCaps w:val="false"/>
          <w:sz w:val="20"/>
        </w:rPr>
        <w:t>” means the holder of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caps w:val="false"/>
          <w:smallCaps w:val="false"/>
          <w:sz w:val="20"/>
          <w:u w:val="single"/>
        </w:rPr>
        <w:t>Performance Share</w:t>
      </w:r>
      <w:r>
        <w:rPr>
          <w:rFonts w:ascii="Times New Roman" w:hAnsi="Times New Roman"/>
          <w:caps w:val="false"/>
          <w:smallCaps w:val="false"/>
          <w:sz w:val="20"/>
        </w:rPr>
        <w:t>” means an Award denominated in Shares which may be earned in whole or in part upon attainment of performance goals or other vesting criteria as the Administrator may determine pursuant to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caps w:val="false"/>
          <w:smallCaps w:val="false"/>
          <w:sz w:val="20"/>
          <w:u w:val="single"/>
        </w:rPr>
        <w:t>Performance Unit</w:t>
      </w:r>
      <w:r>
        <w:rPr>
          <w:rFonts w:ascii="Times New Roman" w:hAnsi="Times New Roman"/>
          <w:caps w:val="false"/>
          <w:smallCaps w:val="false"/>
          <w:sz w:val="20"/>
        </w:rPr>
        <w:t>”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caps w:val="false"/>
          <w:smallCaps w:val="false"/>
          <w:sz w:val="20"/>
          <w:u w:val="single"/>
        </w:rPr>
        <w:t>Period of Restriction</w:t>
      </w:r>
      <w:r>
        <w:rPr>
          <w:rFonts w:ascii="Times New Roman" w:hAnsi="Times New Roman"/>
          <w:caps w:val="false"/>
          <w:smallCaps w:val="false"/>
          <w:sz w:val="20"/>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(dd)    “</w:t>
      </w:r>
      <w:r>
        <w:rPr>
          <w:rFonts w:ascii="Times New Roman" w:hAnsi="Times New Roman"/>
          <w:caps w:val="false"/>
          <w:smallCaps w:val="false"/>
          <w:sz w:val="20"/>
          <w:u w:val="single"/>
        </w:rPr>
        <w:t>Plan</w:t>
      </w:r>
      <w:r>
        <w:rPr>
          <w:rFonts w:ascii="Times New Roman" w:hAnsi="Times New Roman"/>
          <w:caps w:val="false"/>
          <w:smallCaps w:val="false"/>
          <w:sz w:val="20"/>
        </w:rPr>
        <w:t>” means this Lattice Semiconductor Corporation 2025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(ee)    “</w:t>
      </w:r>
      <w:r>
        <w:rPr>
          <w:rFonts w:ascii="Times New Roman" w:hAnsi="Times New Roman"/>
          <w:caps w:val="false"/>
          <w:smallCaps w:val="false"/>
          <w:sz w:val="20"/>
          <w:u w:val="single"/>
        </w:rPr>
        <w:t>Restricted Stock</w:t>
      </w:r>
      <w:r>
        <w:rPr>
          <w:rFonts w:ascii="Times New Roman" w:hAnsi="Times New Roman"/>
          <w:caps w:val="false"/>
          <w:smallCaps w:val="false"/>
          <w:sz w:val="20"/>
        </w:rPr>
        <w:t>” means Shares issued pursuant to a Restricted Stock award under Section 7 of the Plan or Shares issued pursuant to the early exercise of an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(ff)    “</w:t>
      </w:r>
      <w:r>
        <w:rPr>
          <w:rFonts w:ascii="Times New Roman" w:hAnsi="Times New Roman"/>
          <w:caps w:val="false"/>
          <w:smallCaps w:val="false"/>
          <w:sz w:val="20"/>
          <w:u w:val="single"/>
        </w:rPr>
        <w:t>Restricted Stock Unit</w:t>
      </w:r>
      <w:r>
        <w:rPr>
          <w:rFonts w:ascii="Times New Roman" w:hAnsi="Times New Roman"/>
          <w:caps w:val="false"/>
          <w:smallCaps w:val="false"/>
          <w:sz w:val="20"/>
        </w:rPr>
        <w:t>” means a bookkeeping entry representing an amount equal to the Fair Market Value of one Share, granted pursuant to Section 8. Each Restricted Stock Unit represents an unfunded and unsecured obligation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(gg)    “</w:t>
      </w:r>
      <w:r>
        <w:rPr>
          <w:rFonts w:ascii="Times New Roman" w:hAnsi="Times New Roman"/>
          <w:caps w:val="false"/>
          <w:smallCaps w:val="false"/>
          <w:sz w:val="20"/>
          <w:u w:val="single"/>
        </w:rPr>
        <w:t>Rule 16b-3</w:t>
      </w:r>
      <w:r>
        <w:rPr>
          <w:rFonts w:ascii="Times New Roman" w:hAnsi="Times New Roman"/>
          <w:caps w:val="false"/>
          <w:smallCaps w:val="false"/>
          <w:sz w:val="20"/>
        </w:rPr>
        <w:t>” means Rule 16b-3 of the Exchange Act or any successor to Rule 16b-3, as in effect when discretion is being exercised with respect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(hh)    “</w:t>
      </w:r>
      <w:r>
        <w:rPr>
          <w:rFonts w:ascii="Times New Roman" w:hAnsi="Times New Roman"/>
          <w:caps w:val="false"/>
          <w:smallCaps w:val="false"/>
          <w:sz w:val="20"/>
          <w:u w:val="single"/>
        </w:rPr>
        <w:t>Section 16(b)</w:t>
      </w:r>
      <w:r>
        <w:rPr>
          <w:rFonts w:ascii="Times New Roman" w:hAnsi="Times New Roman"/>
          <w:caps w:val="false"/>
          <w:smallCaps w:val="false"/>
          <w:sz w:val="20"/>
        </w:rPr>
        <w:t>” means Section 16(b)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Section 409A</w:t>
      </w:r>
      <w:r>
        <w:rPr>
          <w:rFonts w:ascii="Times New Roman" w:hAnsi="Times New Roman"/>
          <w:caps w:val="false"/>
          <w:smallCaps w:val="false"/>
          <w:sz w:val="20"/>
        </w:rPr>
        <w:t>” means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(jj)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(kk)    “</w:t>
      </w:r>
      <w:r>
        <w:rPr>
          <w:rFonts w:ascii="Times New Roman" w:hAnsi="Times New Roman"/>
          <w:caps w:val="false"/>
          <w:smallCaps w:val="false"/>
          <w:sz w:val="20"/>
          <w:u w:val="single"/>
        </w:rPr>
        <w:t>Service Provider</w:t>
      </w:r>
      <w:r>
        <w:rPr>
          <w:rFonts w:ascii="Times New Roman" w:hAnsi="Times New Roman"/>
          <w:caps w:val="false"/>
          <w:smallCaps w:val="false"/>
          <w:sz w:val="20"/>
        </w:rPr>
        <w:t>” means an Employee, Director or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(ll)    “</w:t>
      </w:r>
      <w:r>
        <w:rPr>
          <w:rFonts w:ascii="Times New Roman" w:hAnsi="Times New Roman"/>
          <w:caps w:val="false"/>
          <w:smallCaps w:val="false"/>
          <w:sz w:val="20"/>
          <w:u w:val="single"/>
        </w:rPr>
        <w:t>Share</w:t>
      </w:r>
      <w:r>
        <w:rPr>
          <w:rFonts w:ascii="Times New Roman" w:hAnsi="Times New Roman"/>
          <w:caps w:val="false"/>
          <w:smallCaps w:val="false"/>
          <w:sz w:val="20"/>
        </w:rPr>
        <w:t>” means a share of the Common Stock, as adjusted in accordance with Section 15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(mm)    “</w:t>
      </w:r>
      <w:r>
        <w:rPr>
          <w:rFonts w:ascii="Times New Roman" w:hAnsi="Times New Roman"/>
          <w:caps w:val="false"/>
          <w:smallCaps w:val="false"/>
          <w:sz w:val="20"/>
          <w:u w:val="single"/>
        </w:rPr>
        <w:t>Stock Appreciation Right</w:t>
      </w:r>
      <w:r>
        <w:rPr>
          <w:rFonts w:ascii="Times New Roman" w:hAnsi="Times New Roman"/>
          <w:caps w:val="false"/>
          <w:smallCaps w:val="false"/>
          <w:sz w:val="20"/>
        </w:rPr>
        <w:t>” means an Award, granted alone or in connection with an Option, that pursuant to Section 9 is designated as a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(nn)    “</w:t>
      </w:r>
      <w:r>
        <w:rPr>
          <w:rFonts w:ascii="Times New Roman" w:hAnsi="Times New Roman"/>
          <w:caps w:val="false"/>
          <w:smallCaps w:val="false"/>
          <w:sz w:val="20"/>
          <w:u w:val="single"/>
        </w:rPr>
        <w:t>Subsidiary</w:t>
      </w:r>
      <w:r>
        <w:rPr>
          <w:rFonts w:ascii="Times New Roman" w:hAnsi="Times New Roman"/>
          <w:caps w:val="false"/>
          <w:smallCaps w:val="false"/>
          <w:sz w:val="20"/>
        </w:rPr>
        <w:t>” means a “subsidiary corporation” as defined in Section 424(f) of the Code, whether now or hereafter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(oo)    “</w:t>
      </w:r>
      <w:r>
        <w:rPr>
          <w:rFonts w:ascii="Times New Roman" w:hAnsi="Times New Roman"/>
          <w:caps w:val="false"/>
          <w:smallCaps w:val="false"/>
          <w:sz w:val="20"/>
          <w:u w:val="single"/>
        </w:rPr>
        <w:t>Tax-Related Items</w:t>
      </w:r>
      <w:r>
        <w:rPr>
          <w:rFonts w:ascii="Times New Roman" w:hAnsi="Times New Roman"/>
          <w:caps w:val="false"/>
          <w:smallCaps w:val="false"/>
          <w:sz w:val="20"/>
        </w:rPr>
        <w:t>” 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have been transferred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(pp)    “</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that the primary stock exchange, national market system, or other trading platform, as applicable, upon which the Common Stock is listed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Stock Subject to the Plan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Stock Subject to the Plan</w:t>
      </w:r>
      <w:r>
        <w:rPr>
          <w:rFonts w:ascii="Times New Roman" w:hAnsi="Times New Roman"/>
          <w:caps w:val="false"/>
          <w:smallCaps w:val="false"/>
          <w:sz w:val="20"/>
        </w:rPr>
        <w:t>. Subject to the provisions of Section 15 of the Plan, the maximum aggregate number of Shares that may be issued under the Plan is 2,625,967 Shares. In addition, Shares may become available for issuance under the Plan pursuant to Section 3(b). The Shares may be authorized, but unissued, or reacquired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Lapsed Awards</w:t>
      </w:r>
      <w:r>
        <w:rPr>
          <w:rFonts w:ascii="Times New Roman" w:hAnsi="Times New Roman"/>
          <w:caps w:val="false"/>
          <w:smallCaps w:val="false"/>
          <w:sz w:val="20"/>
        </w:rPr>
        <w:t>. If an Award expires or becomes unexercisable without having been exercised in full,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underlying the portion of a Stock Appreciation Right that is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Share Reserve</w:t>
      </w:r>
      <w:r>
        <w:rPr>
          <w:rFonts w:ascii="Times New Roman" w:hAnsi="Times New Roman"/>
          <w:caps w:val="false"/>
          <w:smallCaps w:val="false"/>
          <w:sz w:val="20"/>
        </w:rPr>
        <w:t>. The Company, at all times during the term of this Plan, will reserve and keep available such number of Shares as will be sufficient to satisfy the requirements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Administration of the Plan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Procedure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General</w:t>
      </w:r>
      <w:r>
        <w:rPr>
          <w:rFonts w:ascii="Times New Roman" w:hAnsi="Times New Roman"/>
          <w:caps w:val="false"/>
          <w:smallCaps w:val="false"/>
          <w:sz w:val="20"/>
        </w:rPr>
        <w:t>. The Plan will be administered by (A) the Board or (B) a Committee constituted to satisfy Applicable Laws. The Board or Committee will be the Administrator. Different Administrators may administer the Plan with respect to different groups of Employees or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Rule 16b-3</w:t>
      </w:r>
      <w:r>
        <w:rPr>
          <w:rFonts w:ascii="Times New Roman" w:hAnsi="Times New Roman"/>
          <w:caps w:val="false"/>
          <w:smallCaps w:val="false"/>
          <w:sz w:val="20"/>
        </w:rPr>
        <w:t>. To the extent desirable to qualify transactions hereunder as exempt under Rule 16b-3, the transactions contemplated hereunder will be structured to satisfy the requirements for exemption under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Approval</w:t>
      </w:r>
      <w:r>
        <w:rPr>
          <w:rFonts w:ascii="Times New Roman" w:hAnsi="Times New Roman"/>
          <w:caps w:val="false"/>
          <w:smallCaps w:val="false"/>
          <w:sz w:val="20"/>
        </w:rPr>
        <w:t>. Awards granted under the Plan must be approved by a majority of the Company’s “Independent Directors” (as defined under the Nasdaq Listing Rules) or the Compensation Committee of the Board, in each case acting as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Powers of the Administrator</w:t>
      </w:r>
      <w:r>
        <w:rPr>
          <w:rFonts w:ascii="Times New Roman" w:hAnsi="Times New Roman"/>
          <w:caps w:val="false"/>
          <w:smallCaps w:val="false"/>
          <w:sz w:val="20"/>
        </w:rPr>
        <w:t>. 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    determine the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    select the individuals to whom Awards may be granted hereunder, subject to Section 5 (which Awards will be intended as a material inducement to the individual becoming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(iii)    determine the number of Shares to be covered by each Award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(iv)    approve forms of Award Agreements for use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(v)    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to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(vi)    establish, amend and rescind rules and regulations and adopt sub-plans relating to the Plan, including rules, regulations, and sub-plans for the purposes of facilitating compliance with non-U.S. laws, easing the administration of the Plan and/or taking advantage of tax-favorable treatment for Awards granted to Service Providers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(vii)    interpret the Plan and make any decision necessary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(viii)    interpret, modify or amend each Award (subject to Section 18(c) of the Plan), including without limitation the discretionary authority to extend the post-termination exercisability period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(ix)    allow Participants to satisfy tax withholding obligations in a manner prescribed in Section 16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(x)    authorize any person to execute on behalf of the Company any instrument required to effect the grant of an Award previously granted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(xi)    delegate ministerial duties to any of the Company’s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(xii)    temporarily suspend the exercisability of an Award if the Administrator deems such suspension to be necessary or appropriate for administrative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(xiii)    allow a Participant to defer the receipt of the payment of cash or the delivery of Shares that otherwise would be due to the Participant under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(xiv)    adjust the vesting criteria of a Participant’s Award to reflect a reduction in the hours of employment or service of the Participant;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(xv)    make all other determinations deemed necessary or advisable for administering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Waiver</w:t>
      </w:r>
      <w:r>
        <w:rPr>
          <w:rFonts w:ascii="Times New Roman" w:hAnsi="Times New Roman"/>
          <w:caps w:val="false"/>
          <w:smallCaps w:val="false"/>
          <w:sz w:val="20"/>
        </w:rPr>
        <w:t>. The Administrator may waive any terms, conditions or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Fractional Shares</w:t>
      </w:r>
      <w:r>
        <w:rPr>
          <w:rFonts w:ascii="Times New Roman" w:hAnsi="Times New Roman"/>
          <w:caps w:val="false"/>
          <w:smallCaps w:val="false"/>
          <w:sz w:val="20"/>
        </w:rPr>
        <w:t>. Except as otherwise provided by the Administrator, any fractional Shares that result from the adjustment of Awards will be cancelled. Any fractional Shares that result from vesting percentages will be accumulated and vested on the date that an accumulated full Share is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Electronic Delivery</w:t>
      </w:r>
      <w:r>
        <w:rPr>
          <w:rFonts w:ascii="Times New Roman" w:hAnsi="Times New Roman"/>
          <w:caps w:val="false"/>
          <w:smallCaps w:val="false"/>
          <w:sz w:val="20"/>
        </w:rPr>
        <w:t>.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Choice of Law; Choice of Forum</w:t>
      </w:r>
      <w:r>
        <w:rPr>
          <w:rFonts w:ascii="Times New Roman" w:hAnsi="Times New Roman"/>
          <w:caps w:val="false"/>
          <w:smallCaps w:val="false"/>
          <w:sz w:val="20"/>
        </w:rPr>
        <w:t>.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Effect of Administrator’s Decision</w:t>
      </w:r>
      <w:r>
        <w:rPr>
          <w:rFonts w:ascii="Times New Roman" w:hAnsi="Times New Roman"/>
          <w:caps w:val="false"/>
          <w:smallCaps w:val="false"/>
          <w:sz w:val="20"/>
        </w:rPr>
        <w:t>. The Administrator’s decisions, determinations and interpretations and those determinations made under Section 13 will be final and binding on all Participants and any other holders of Awards and will be given the maximum deference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Exchange Program</w:t>
      </w:r>
      <w:r>
        <w:rPr>
          <w:rFonts w:ascii="Times New Roman" w:hAnsi="Times New Roman"/>
          <w:caps w:val="false"/>
          <w:smallCaps w:val="false"/>
          <w:sz w:val="20"/>
        </w:rPr>
        <w:t>. The Administrator may not institute an Exchange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Eligibility</w:t>
      </w:r>
      <w:r>
        <w:rPr>
          <w:rFonts w:ascii="Times New Roman" w:hAnsi="Times New Roman"/>
          <w:caps w:val="false"/>
          <w:smallCaps w:val="false"/>
          <w:sz w:val="20"/>
        </w:rPr>
        <w:t>. Nonstatutory Stock Options, Stock Appreciation Rights, Restricted Stock, Restricted Stock Units, Performance Shares and Performance Units may be granted to Employees so long as the following requirements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The Employee was not previously an Employee or Director, or the Employee is to become employed by the Company or any Parent or Subsidiary of the Company following a bona fide period of non-employment (within the meaning of the Inducement Listing Rule);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The grant of the Award or Awards is an inducement material to the Employee’s entering into employment with the Company (or any Parent or Subsidiary of the Company, as applicable) in accordance with the Inducement Listing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Stock Options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 of Options</w:t>
      </w:r>
      <w:r>
        <w:rPr>
          <w:rFonts w:ascii="Times New Roman" w:hAnsi="Times New Roman"/>
          <w:caps w:val="false"/>
          <w:smallCaps w:val="false"/>
          <w:sz w:val="20"/>
        </w:rPr>
        <w:t>. The Administrator, in its sole discretion and subject to the terms and provisions of the Plan, including without limitation the eligibility requirements of Section 5, may grant Options to any individual as a material inducement to the individual becoming an Employee, which grant shall become effective only if the individual actually becomes an Employee. Subject to the terms and provisions of the Plan, the Administrator, at any time and from time to time, may grant Options to Employees in such amounts as the Administrator determines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Stock Option Agreement</w:t>
      </w:r>
      <w:r>
        <w:rPr>
          <w:rFonts w:ascii="Times New Roman" w:hAnsi="Times New Roman"/>
          <w:caps w:val="false"/>
          <w:smallCaps w:val="false"/>
          <w:sz w:val="20"/>
        </w:rPr>
        <w:t>.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Term of Option</w:t>
      </w:r>
      <w:r>
        <w:rPr>
          <w:rFonts w:ascii="Times New Roman" w:hAnsi="Times New Roman"/>
          <w:caps w:val="false"/>
          <w:smallCaps w:val="false"/>
          <w:sz w:val="20"/>
        </w:rPr>
        <w:t>. The term of each Option will be stated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Option Exercise Price and Consideration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Exercise Price</w:t>
      </w:r>
      <w:r>
        <w:rPr>
          <w:rFonts w:ascii="Times New Roman" w:hAnsi="Times New Roman"/>
          <w:caps w:val="false"/>
          <w:smallCaps w:val="false"/>
          <w:sz w:val="20"/>
        </w:rPr>
        <w:t>. The per Share exercise price for the Shares to be issued pursuant to the exercise of an Option will be determined by the Administrator and may be no less than 100% of the Fair Market Value per Share on the Grant Date unless otherwise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Waiting Period and Exercise Dates</w:t>
      </w:r>
      <w:r>
        <w:rPr>
          <w:rFonts w:ascii="Times New Roman" w:hAnsi="Times New Roman"/>
          <w:caps w:val="false"/>
          <w:smallCaps w:val="false"/>
          <w:sz w:val="20"/>
        </w:rPr>
        <w:t>. At the time an Option is granted, the Administrator will fix the period within which the Option may be exercised and will determine any conditions that must be satisfied before the Option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Form of Consideration</w:t>
      </w:r>
      <w:r>
        <w:rPr>
          <w:rFonts w:ascii="Times New Roman" w:hAnsi="Times New Roman"/>
          <w:caps w:val="false"/>
          <w:smallCaps w:val="false"/>
          <w:sz w:val="20"/>
        </w:rPr>
        <w:t>. The Administrator will determine the acceptable form of consideration for exercising an Option, including the method of payment.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that has been approved by the Board or a Committee; (7) such other consideration and method of payment for the issuance of Shares to the extent permitted by Applicable Laws; or (8) any combination of the foregoing methods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Exercise of Option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Procedure for Exercise; Rights as a Stockholder</w:t>
      </w:r>
      <w:r>
        <w:rPr>
          <w:rFonts w:ascii="Times New Roman" w:hAnsi="Times New Roman"/>
          <w:caps w:val="false"/>
          <w:smallCaps w:val="false"/>
          <w:sz w:val="20"/>
        </w:rPr>
        <w:t>.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An Option will be deemed exercised when the Company receives: (1) notice of exercise (in accordance with the procedures that the Administrator may specify from time to time) from the person entitled to exercise the Option, and (2)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Termination of Relationship as a Service Provider</w:t>
      </w:r>
      <w:r>
        <w:rPr>
          <w:rFonts w:ascii="Times New Roman" w:hAnsi="Times New Roman"/>
          <w:caps w:val="false"/>
          <w:smallCaps w:val="false"/>
          <w:sz w:val="20"/>
        </w:rPr>
        <w:t>.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Disability of Participant</w:t>
      </w:r>
      <w:r>
        <w:rPr>
          <w:rFonts w:ascii="Times New Roman" w:hAnsi="Times New Roman"/>
          <w:caps w:val="false"/>
          <w:smallCaps w:val="false"/>
          <w:sz w:val="20"/>
        </w:rPr>
        <w: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Death of Participant</w:t>
      </w:r>
      <w:r>
        <w:rPr>
          <w:rFonts w:ascii="Times New Roman" w:hAnsi="Times New Roman"/>
          <w:caps w:val="false"/>
          <w:smallCaps w:val="false"/>
          <w:sz w:val="20"/>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Tolling Expiration</w:t>
      </w:r>
      <w:r>
        <w:rPr>
          <w:rFonts w:ascii="Times New Roman" w:hAnsi="Times New Roman"/>
          <w:caps w:val="false"/>
          <w:smallCaps w:val="false"/>
          <w:sz w:val="20"/>
        </w:rPr>
        <w:t>. A Participant’s Award Agreement may also provide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(1)    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10th day after the last date on which such exercise would result in liability under Section 16(b);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(2)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Restricted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 of Restricted Stock</w:t>
      </w:r>
      <w:r>
        <w:rPr>
          <w:rFonts w:ascii="Times New Roman" w:hAnsi="Times New Roman"/>
          <w:caps w:val="false"/>
          <w:smallCaps w:val="false"/>
          <w:sz w:val="20"/>
        </w:rPr>
        <w:t>. Subject to the terms and provisions of the Plan, including without limitation the eligibility requirements of Section 5, the Administrator, at any time and from time to time, may grant Shares of Restricted Stock to any individual as a material inducement to the individual becoming an Employee, which grant shall become effective only if the individual actually becomes an Employee, in such amounts as the Administrator determines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Restricted Stock Agreement</w:t>
      </w:r>
      <w:r>
        <w:rPr>
          <w:rFonts w:ascii="Times New Roman" w:hAnsi="Times New Roman"/>
          <w:caps w:val="false"/>
          <w:smallCaps w:val="false"/>
          <w:sz w:val="20"/>
        </w:rPr>
        <w:t>. Each Award of Restricted Stock will be evidenced by an Award Agreement that will specify any Period of Restriction, the number of Shares granted, and such other terms and conditions as the Administrator determines in its sole discretion. Unless the Administrator determines otherwise, the Company as escrow agent will hold Shares of Restricted Stock until the restrictions on such Shares have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Transferability</w:t>
      </w:r>
      <w:r>
        <w:rPr>
          <w:rFonts w:ascii="Times New Roman" w:hAnsi="Times New Roman"/>
          <w:caps w:val="false"/>
          <w:smallCaps w:val="false"/>
          <w:sz w:val="20"/>
        </w:rPr>
        <w:t>. Except as provided in this Section 7, Shares of Restricted Stock may not be sold, transferred, pledged, assigned, or otherwise alienated or hypothecated until the end of any applicable Period of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Other Restrictions</w:t>
      </w:r>
      <w:r>
        <w:rPr>
          <w:rFonts w:ascii="Times New Roman" w:hAnsi="Times New Roman"/>
          <w:caps w:val="false"/>
          <w:smallCaps w:val="false"/>
          <w:sz w:val="20"/>
        </w:rPr>
        <w:t>. The Administrator, in its sole discretion, may impose such other restrictions on Shares of Restricted Stock as it may deem advisable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Removal of Restrictions</w:t>
      </w:r>
      <w:r>
        <w:rPr>
          <w:rFonts w:ascii="Times New Roman" w:hAnsi="Times New Roman"/>
          <w:caps w:val="false"/>
          <w:smallCaps w:val="false"/>
          <w:sz w:val="20"/>
        </w:rPr>
        <w:t>.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an Option, the Administrator, in its sole discretion, may accelerate the time at which any restrictions will lapse or be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Voting Rights</w:t>
      </w:r>
      <w:r>
        <w:rPr>
          <w:rFonts w:ascii="Times New Roman" w:hAnsi="Times New Roman"/>
          <w:caps w:val="false"/>
          <w:smallCaps w:val="false"/>
          <w:sz w:val="20"/>
        </w:rPr>
        <w:t>. During any applicable Period of Restriction, Service Providers holding Shares of Restricted Stock granted hereunder may exercise full voting rights with respect to those Shares, unless the Administrator determines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Return of Restricted Stock to Company</w:t>
      </w:r>
      <w:r>
        <w:rPr>
          <w:rFonts w:ascii="Times New Roman" w:hAnsi="Times New Roman"/>
          <w:caps w:val="false"/>
          <w:smallCaps w:val="false"/>
          <w:sz w:val="20"/>
        </w:rPr>
        <w:t>. On the date set forth in the Award Agreement, the Restricted Stock for which restrictions have not lapsed will revert to the Company and again will become available for grant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Restricted Stock Units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w:t>
      </w:r>
      <w:r>
        <w:rPr>
          <w:rFonts w:ascii="Times New Roman" w:hAnsi="Times New Roman"/>
          <w:caps w:val="false"/>
          <w:smallCaps w:val="false"/>
          <w:sz w:val="20"/>
        </w:rPr>
        <w:t>. Subject to the terms and provisions of the Plan, including without limitation the eligibility requirements of Section 5, Restricted Stock Units may be granted at any time and from time to time as determined by the Administrator to any individual as a material inducement to the individual becoming an Employee, which grant shall become effective only if the individual actually becomes an Employee.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Restricted Stock Unit Agreement</w:t>
      </w:r>
      <w:r>
        <w:rPr>
          <w:rFonts w:ascii="Times New Roman" w:hAnsi="Times New Roman"/>
          <w:caps w:val="false"/>
          <w:smallCaps w:val="false"/>
          <w:sz w:val="20"/>
        </w:rPr>
        <w:t>. Each Award of Restricted Stock Units will be evidenced by an Award Agreement that will specify vesting criteria, the number of Restricted Stock Units granted, and such other terms and conditions as the Administrator determines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Vesting Criteria and Other Terms</w:t>
      </w:r>
      <w:r>
        <w:rPr>
          <w:rFonts w:ascii="Times New Roman" w:hAnsi="Times New Roman"/>
          <w:caps w:val="false"/>
          <w:smallCaps w:val="false"/>
          <w:sz w:val="20"/>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Earning Restricted Stock Units</w:t>
      </w:r>
      <w:r>
        <w:rPr>
          <w:rFonts w:ascii="Times New Roman" w:hAnsi="Times New Roman"/>
          <w:caps w:val="false"/>
          <w:smallCaps w:val="false"/>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Form and Timing of Payment</w:t>
      </w:r>
      <w:r>
        <w:rPr>
          <w:rFonts w:ascii="Times New Roman" w:hAnsi="Times New Roman"/>
          <w:caps w:val="false"/>
          <w:smallCaps w:val="false"/>
          <w:sz w:val="20"/>
        </w:rPr>
        <w:t>.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Cancellation</w:t>
      </w:r>
      <w:r>
        <w:rPr>
          <w:rFonts w:ascii="Times New Roman" w:hAnsi="Times New Roman"/>
          <w:caps w:val="false"/>
          <w:smallCaps w:val="false"/>
          <w:sz w:val="20"/>
        </w:rPr>
        <w:t>. On the date set forth in the Award Agreement, all unearned Restricted Stock Units will be forfeited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Stock Appreciation Rights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 of Stock Appreciation Rights</w:t>
      </w:r>
      <w:r>
        <w:rPr>
          <w:rFonts w:ascii="Times New Roman" w:hAnsi="Times New Roman"/>
          <w:caps w:val="false"/>
          <w:smallCaps w:val="false"/>
          <w:sz w:val="20"/>
        </w:rPr>
        <w:t>. Subject to the terms and provisions of the Plan, including without limitation the eligibility requirements of Section 5,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Stock Appreciation Right Agreement</w:t>
      </w:r>
      <w:r>
        <w:rPr>
          <w:rFonts w:ascii="Times New Roman" w:hAnsi="Times New Roman"/>
          <w:caps w:val="false"/>
          <w:smallCaps w:val="false"/>
          <w:sz w:val="20"/>
        </w:rPr>
        <w:t>. Each Stock Appreciation Right grant will be evidenced by an Award Agreement that will specify the exercise price, the term of the Stock Appreciation Right,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Number of Shares</w:t>
      </w:r>
      <w:r>
        <w:rPr>
          <w:rFonts w:ascii="Times New Roman" w:hAnsi="Times New Roman"/>
          <w:caps w:val="false"/>
          <w:smallCaps w:val="false"/>
          <w:sz w:val="20"/>
        </w:rPr>
        <w:t>. The Administrator will have complete discretion to determine the number of Stock Appreciation Rights granted to any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Exercise Price and Other Terms</w:t>
      </w:r>
      <w:r>
        <w:rPr>
          <w:rFonts w:ascii="Times New Roman" w:hAnsi="Times New Roman"/>
          <w:caps w:val="false"/>
          <w:smallCaps w:val="false"/>
          <w:sz w:val="20"/>
        </w:rPr>
        <w:t>.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Expiration of Stock Appreciation Rights</w:t>
      </w:r>
      <w:r>
        <w:rPr>
          <w:rFonts w:ascii="Times New Roman" w:hAnsi="Times New Roman"/>
          <w:caps w:val="false"/>
          <w:smallCaps w:val="false"/>
          <w:sz w:val="20"/>
        </w:rPr>
        <w:t>. A Stock Appreciation Right granted under the Plan will expire upon the date as determined by the Administrator, in its sole discretion, and set forth in the Award Agreement. Notwithstanding the foregoing, the tolling and expiration rules of Section 6(e) relating to exercise also will apply to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Payment of Stock Appreciation Right Amount</w:t>
      </w:r>
      <w:r>
        <w:rPr>
          <w:rFonts w:ascii="Times New Roman" w:hAnsi="Times New Roman"/>
          <w:caps w:val="false"/>
          <w:smallCaps w:val="false"/>
          <w:sz w:val="20"/>
        </w:rPr>
        <w:t>. Upon exercise of a Stock Appreciation Right, a Participant will be entitled to receive payment from the Company in an amount determined as the product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    The difference between the Fair Market Value of a Share on the date of exercise over the exercise price;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left"/>
        <w:rPr>
          <w:rFonts w:ascii="Times New Roman" w:hAnsi="Times New Roman"/>
          <w:caps w:val="false"/>
          <w:smallCaps w:val="false"/>
          <w:sz w:val="20"/>
        </w:rPr>
      </w:pPr>
      <w:r>
        <w:rPr>
          <w:rFonts w:ascii="Times New Roman" w:hAnsi="Times New Roman"/>
          <w:caps w:val="false"/>
          <w:smallCaps w:val="false"/>
          <w:sz w:val="20"/>
        </w:rPr>
        <w:t>(ii)    The number of Shares with respect to which the Stock Appreciation Right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discretion of the Administrator, the payment upon exercise of a Stock Appreciation Right may be in cash, in Shares of equivalent value, or in some combination of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Performance Units and Performance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 of Performance Units/Shares</w:t>
      </w:r>
      <w:r>
        <w:rPr>
          <w:rFonts w:ascii="Times New Roman" w:hAnsi="Times New Roman"/>
          <w:caps w:val="false"/>
          <w:smallCaps w:val="false"/>
          <w:sz w:val="20"/>
        </w:rPr>
        <w:t>. Subject to the terms and provisions of the Plan, including without limitation the eligibility requirements of Section 5, Performance Units and Performance Shares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The Administrator will have complete discretion in determining the number of Performance Units and Performance Shares granted to any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Value of Performance Units/Shares</w:t>
      </w:r>
      <w:r>
        <w:rPr>
          <w:rFonts w:ascii="Times New Roman" w:hAnsi="Times New Roman"/>
          <w:caps w:val="false"/>
          <w:smallCaps w:val="false"/>
          <w:sz w:val="20"/>
        </w:rPr>
        <w:t>. Each Performance Unit will have an initial value that is established by the Administrator on or before the Grant Date. Each Performance Share will have an initial value equal to the Fair Market Value of a Share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Performance Objectives and Other Terms</w:t>
      </w:r>
      <w:r>
        <w:rPr>
          <w:rFonts w:ascii="Times New Roman" w:hAnsi="Times New Roman"/>
          <w:caps w:val="false"/>
          <w:smallCaps w:val="false"/>
          <w:sz w:val="20"/>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imes New Roman" w:hAnsi="Times New Roman"/>
          <w:caps w:val="false"/>
          <w:smallCaps w:val="false"/>
          <w:sz w:val="20"/>
          <w:u w:val="single"/>
        </w:rPr>
        <w:t>Performance Period</w:t>
      </w:r>
      <w:r>
        <w:rPr>
          <w:rFonts w:ascii="Times New Roman" w:hAnsi="Times New Roman"/>
          <w:caps w:val="false"/>
          <w:smallCaps w:val="false"/>
          <w:sz w:val="20"/>
        </w:rPr>
        <w:t>.”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Earning of Performance Units/Shares</w:t>
      </w:r>
      <w:r>
        <w:rPr>
          <w:rFonts w:ascii="Times New Roman" w:hAnsi="Times New Roman"/>
          <w:caps w:val="false"/>
          <w:smallCaps w:val="false"/>
          <w:sz w:val="20"/>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Form and Timing of Payment of Performance Units/Shares</w:t>
      </w:r>
      <w:r>
        <w:rPr>
          <w:rFonts w:ascii="Times New Roman" w:hAnsi="Times New Roman"/>
          <w:caps w:val="false"/>
          <w:smallCaps w:val="false"/>
          <w:sz w:val="20"/>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Cancellation of Performance Units/Shares</w:t>
      </w:r>
      <w:r>
        <w:rPr>
          <w:rFonts w:ascii="Times New Roman" w:hAnsi="Times New Roman"/>
          <w:caps w:val="false"/>
          <w:smallCaps w:val="false"/>
          <w:sz w:val="20"/>
        </w:rPr>
        <w:t>. On the date set forth in the Award Agreement, all unearned or unvested Performance Units/Shares will be forfeited to the Company, and again will be available for grant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Other Stock or Cash-Based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Subject to the terms and provisions of the Plan, including without limitation the eligibility requirements of Section 5 and such other terms and conditions as the Administrator deems appropriate, the Administrator may grant other incentives payable in cash or in Shares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Dividends and Other Distributions</w:t>
      </w:r>
      <w:r>
        <w:rPr>
          <w:rFonts w:ascii="Times New Roman" w:hAnsi="Times New Roman"/>
          <w:caps w:val="false"/>
          <w:smallCaps w:val="false"/>
          <w:sz w:val="20"/>
        </w:rPr>
        <w:t>. No dividends or other distributions shall be paid with respect to any Shares underlying any unvested portion of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Leaves of Absence/Reduction in Hours/Transfer Between Locations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Other than for executive officers, the Company’s chief human resources officer or other person serving as the Company’s senior human resources official shall determine the effect on the vesting of an Award of a Company-approved leave of absence or a Participant’s reduction in hours of employment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For executive officers, the compensation committee of the Board shall determine the effect on the vesting of an Award of a Company-approved leave of absence or a Participant’s reduction in hours of employment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    A Participant will not cease to be an Employee in the case of transfers between locations of the Company or between the Company, any of its Parents,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Transferability of Awards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General Rule</w:t>
      </w:r>
      <w:r>
        <w:rPr>
          <w:rFonts w:ascii="Times New Roman" w:hAnsi="Times New Roman"/>
          <w:caps w:val="false"/>
          <w:smallCaps w:val="false"/>
          <w:sz w:val="20"/>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Domestic Relations Orders</w:t>
      </w:r>
      <w:r>
        <w:rPr>
          <w:rFonts w:ascii="Times New Roman" w:hAnsi="Times New Roman"/>
          <w:caps w:val="false"/>
          <w:smallCaps w:val="false"/>
          <w:sz w:val="20"/>
        </w:rPr>
        <w:t>. If approved by the Administrator, an Award may be transferred pursuant to the terms of a domestic relations order, official marital settlement agreement or other divorce or separation instrument as permitted by Treasury Regulations Section 1.421-1(b)(2).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Limited Transfers for the Benefit of Family Members</w:t>
      </w:r>
      <w:r>
        <w:rPr>
          <w:rFonts w:ascii="Times New Roman" w:hAnsi="Times New Roman"/>
          <w:caps w:val="false"/>
          <w:smallCaps w:val="false"/>
          <w:sz w:val="20"/>
        </w:rPr>
        <w:t>. The Administrator may permit an Award or Share issued under this Plan to be assigned or transferred subject to the applicable limitations, set forth in the General Instructions to Form S-8 Registration Statement under the Securities Act, if applicable, and any other Applicable Laws. For the avoidance of doubt, during the lifetime of the Participant, no Award may be assigned or transferred to a third-party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Permitted Transferees</w:t>
      </w:r>
      <w:r>
        <w:rPr>
          <w:rFonts w:ascii="Times New Roman" w:hAnsi="Times New Roman"/>
          <w:caps w:val="false"/>
          <w:smallCaps w:val="false"/>
          <w:sz w:val="20"/>
        </w:rPr>
        <w:t>.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Adjustments; Dissolution or Liquidation; Merger or Change in Control; Death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Adjustments</w:t>
      </w:r>
      <w:r>
        <w:rPr>
          <w:rFonts w:ascii="Times New Roman" w:hAnsi="Times New Roman"/>
          <w:caps w:val="false"/>
          <w:smallCaps w:val="false"/>
          <w:sz w:val="20"/>
        </w:rPr>
        <w:t>.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Dissolution or Liquidation</w:t>
      </w:r>
      <w:r>
        <w:rPr>
          <w:rFonts w:ascii="Times New Roman" w:hAnsi="Times New Roman"/>
          <w:caps w:val="false"/>
          <w:smallCaps w:val="false"/>
          <w:sz w:val="20"/>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Merger or Change in Control</w:t>
      </w:r>
      <w:r>
        <w:rPr>
          <w:rFonts w:ascii="Times New Roman" w:hAnsi="Times New Roman"/>
          <w:caps w:val="false"/>
          <w:smallCaps w:val="false"/>
          <w:sz w:val="20"/>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For the purposes of this Section 15(c),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Notwithstanding anything in this Section 15(c)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Notwithstanding anything in this Section 15(c)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Tax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Withholding Requirements</w:t>
      </w:r>
      <w:r>
        <w:rPr>
          <w:rFonts w:ascii="Times New Roman" w:hAnsi="Times New Roman"/>
          <w:caps w:val="false"/>
          <w:smallCaps w:val="false"/>
          <w:sz w:val="20"/>
        </w:rPr>
        <w:t>.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Withholding Arrangements</w:t>
      </w:r>
      <w:r>
        <w:rPr>
          <w:rFonts w:ascii="Times New Roman" w:hAnsi="Times New Roman"/>
          <w:caps w:val="false"/>
          <w:smallCaps w:val="false"/>
          <w:sz w:val="20"/>
        </w:rPr>
        <w:t>. The Administrator, in its sole discretion and pursuant to such procedures as it may specify from time to time, may permit or require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of the Company withhold from wages or any other cash amount due or to become due to the Participant and payable by the Company or any Parent or Subsidiary of the Company, (vi) any other method of withholding determined by the Administrator, or (vii) any combination of the foregoing 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w:t>
        <w:noBreakHyphen/>
        <w:t>Related Items to be withheld is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Compliance With Section 409A</w:t>
      </w:r>
      <w:r>
        <w:rPr>
          <w:rFonts w:ascii="Times New Roman" w:hAnsi="Times New Roman"/>
          <w:caps w:val="false"/>
          <w:smallCaps w:val="false"/>
          <w:sz w:val="20"/>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Term of Plan</w:t>
      </w:r>
      <w:r>
        <w:rPr>
          <w:rFonts w:ascii="Times New Roman" w:hAnsi="Times New Roman"/>
          <w:caps w:val="false"/>
          <w:smallCaps w:val="false"/>
          <w:sz w:val="20"/>
        </w:rPr>
        <w:t>. The Plan will become effective upon its adoption by the Board (or its delegate). The Plan will continue in effect until terminated under Section 18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Legal Compliance</w:t>
      </w:r>
      <w:r>
        <w:rPr>
          <w:rFonts w:ascii="Times New Roman" w:hAnsi="Times New Roman"/>
          <w:caps w:val="false"/>
          <w:smallCaps w:val="false"/>
          <w:sz w:val="20"/>
        </w:rPr>
        <w:t>. Shares will not be issued pursuant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Investment Representations</w:t>
      </w:r>
      <w:r>
        <w:rPr>
          <w:rFonts w:ascii="Times New Roman" w:hAnsi="Times New Roman"/>
          <w:caps w:val="false"/>
          <w:smallCaps w:val="false"/>
          <w:sz w:val="20"/>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Inability to Obtain Authority</w:t>
      </w:r>
      <w:r>
        <w:rPr>
          <w:rFonts w:ascii="Times New Roman" w:hAnsi="Times New Roman"/>
          <w:caps w:val="false"/>
          <w:smallCaps w:val="false"/>
          <w:sz w:val="20"/>
        </w:rPr>
        <w:t>.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No Effect on Employment or Service</w:t>
      </w:r>
      <w:r>
        <w:rPr>
          <w:rFonts w:ascii="Times New Roman" w:hAnsi="Times New Roman"/>
          <w:caps w:val="false"/>
          <w:smallCaps w:val="false"/>
          <w:sz w:val="20"/>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Forfeiture Events</w:t>
      </w:r>
      <w:r>
        <w:rPr>
          <w:rFonts w:ascii="Times New Roman" w:hAnsi="Times New Roman"/>
          <w:caps w:val="false"/>
          <w:smallCaps w:val="false"/>
          <w:sz w:val="20"/>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w:t>
      </w:r>
      <w:r>
        <w:rPr>
          <w:rFonts w:ascii="Times New Roman" w:hAnsi="Times New Roman"/>
          <w:caps w:val="false"/>
          <w:smallCaps w:val="false"/>
          <w:sz w:val="20"/>
          <w:u w:val="single"/>
        </w:rPr>
        <w:t>Other Compensation</w:t>
      </w:r>
      <w:r>
        <w:rPr>
          <w:rFonts w:ascii="Times New Roman" w:hAnsi="Times New Roman"/>
          <w:caps w:val="false"/>
          <w:smallCaps w:val="false"/>
          <w:sz w:val="20"/>
        </w:rPr>
        <w:t>”) will be subject to the Company’s clawback policy in effect as of the adoption of this Plan, and will be subject to any other clawback policy of the Company as may be established and/or amended from time to time to comply with Applicable Laws (including without limitation pursuant to the listing standards of any national securities exchange or association on which the Company’s securities are listed or as may be required by the U.S. Dodd-Frank Wall Street Reform and Consumer Protection Act) (the “</w:t>
      </w:r>
      <w:r>
        <w:rPr>
          <w:rFonts w:ascii="Times New Roman" w:hAnsi="Times New Roman"/>
          <w:caps w:val="false"/>
          <w:smallCaps w:val="false"/>
          <w:sz w:val="20"/>
          <w:u w:val="single"/>
        </w:rPr>
        <w:t>Clawback Policy</w:t>
      </w:r>
      <w:r>
        <w:rPr>
          <w:rFonts w:ascii="Times New Roman" w:hAnsi="Times New Roman"/>
          <w:caps w:val="false"/>
          <w:smallCaps w:val="false"/>
          <w:sz w:val="20"/>
        </w:rPr>
        <w:t>”).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caps w:val="false"/>
          <w:smallCaps w:val="false"/>
          <w:sz w:val="20"/>
          <w:u w:val="single"/>
        </w:rPr>
        <w:t>Amendment and Termination of the Plan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Amendment and Termination</w:t>
      </w:r>
      <w:r>
        <w:rPr>
          <w:rFonts w:ascii="Times New Roman" w:hAnsi="Times New Roman"/>
          <w:caps w:val="false"/>
          <w:smallCaps w:val="false"/>
          <w:sz w:val="20"/>
        </w:rPr>
        <w:t>. The Administrator, at any time, may amend, alter, suspend or terminate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Stockholder Approval</w:t>
      </w:r>
      <w:r>
        <w:rPr>
          <w:rFonts w:ascii="Times New Roman" w:hAnsi="Times New Roman"/>
          <w:caps w:val="false"/>
          <w:smallCaps w:val="false"/>
          <w:sz w:val="20"/>
        </w:rPr>
        <w:t>. The Company will obtain stockholder approval of any Plan amendment to the extent necessary and desirable to comply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Consent of Participants Generally Required</w:t>
      </w:r>
      <w:r>
        <w:rPr>
          <w:rFonts w:ascii="Times New Roman" w:hAnsi="Times New Roman"/>
          <w:caps w:val="false"/>
          <w:smallCaps w:val="false"/>
          <w:sz w:val="20"/>
        </w:rPr>
        <w:t>. Subject to Section 18(d) below, no amendment, alteration, suspension or termination of the Plan or an Award under it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regarding Awards granted under the Plan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Exceptions to Consent Requirement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 w:hAnsi="Times New Roman"/>
          <w:caps w:val="false"/>
          <w:smallCaps w:val="false"/>
          <w:sz w:val="20"/>
        </w:rPr>
      </w:pPr>
      <w:r>
        <w:rPr>
          <w:rFonts w:ascii="Times New Roman" w:hAnsi="Times New Roman"/>
          <w:caps w:val="false"/>
          <w:smallCaps w:val="false"/>
          <w:sz w:val="20"/>
        </w:rPr>
        <w:t>(i)    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 w:hAnsi="Times New Roman"/>
          <w:caps w:val="false"/>
          <w:smallCaps w:val="false"/>
          <w:sz w:val="20"/>
        </w:rPr>
      </w:pPr>
      <w:r>
        <w:rPr>
          <w:rFonts w:ascii="Times New Roman" w:hAnsi="Times New Roman"/>
          <w:caps w:val="false"/>
          <w:smallCaps w:val="false"/>
          <w:sz w:val="20"/>
        </w:rPr>
        <w:t>(ii)    Subject to the limitations of Applicable Laws, if any, the Administrator may amend the terms of any one or more Awards without the affected Participant’s consent even if it does materially impair the Participant’s right if such amendment is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340"/>
        <w:jc w:val="left"/>
        <w:rPr>
          <w:rFonts w:ascii="Times New Roman" w:hAnsi="Times New Roman"/>
          <w:caps w:val="false"/>
          <w:smallCaps w:val="false"/>
          <w:sz w:val="20"/>
        </w:rPr>
      </w:pPr>
      <w:r>
        <w:rPr>
          <w:rFonts w:ascii="Times New Roman" w:hAnsi="Times New Roman"/>
          <w:caps w:val="false"/>
          <w:smallCaps w:val="false"/>
          <w:sz w:val="20"/>
        </w:rPr>
        <w:t>(1)    in a manner expressly permitted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340"/>
        <w:jc w:val="left"/>
        <w:rPr>
          <w:rFonts w:ascii="Times New Roman" w:hAnsi="Times New Roman"/>
          <w:caps w:val="false"/>
          <w:smallCaps w:val="false"/>
          <w:sz w:val="20"/>
        </w:rPr>
      </w:pPr>
      <w:r>
        <w:rPr>
          <w:rFonts w:ascii="Times New Roman" w:hAnsi="Times New Roman"/>
          <w:caps w:val="false"/>
          <w:smallCaps w:val="false"/>
          <w:sz w:val="20"/>
        </w:rPr>
        <w:t>(2)    to clarify the manner of exemption from, or to bring the Award into compliance with, Section 409A;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340"/>
        <w:jc w:val="left"/>
        <w:rPr>
          <w:rFonts w:ascii="Times New Roman" w:hAnsi="Times New Roman"/>
          <w:caps w:val="false"/>
          <w:smallCaps w:val="false"/>
          <w:sz w:val="20"/>
        </w:rPr>
      </w:pPr>
      <w:r>
        <w:rPr>
          <w:rFonts w:ascii="Times New Roman" w:hAnsi="Times New Roman"/>
          <w:caps w:val="false"/>
          <w:smallCaps w:val="false"/>
          <w:sz w:val="20"/>
        </w:rPr>
        <w:t>(3)    to comply with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ex_993320.htm"/>
      <w:bookmarkStart w:id="5" w:name="ksex_993320"/>
      <w:bookmarkEnd w:id="4"/>
      <w:bookmarkEnd w:id="5"/>
      <w:r>
        <w:rPr/>
        <w:t> </w:t>
      </w:r>
      <w:r>
        <w:br w:type="page"/>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Exhibit 99.1</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b/>
          <w:sz w:val="24"/>
        </w:rPr>
      </w:pPr>
      <w:r>
        <w:rPr>
          <w:rFonts w:ascii="Arial;Helvetica;sans-serif" w:hAnsi="Arial;Helvetica;sans-serif"/>
          <w:b/>
          <w:sz w:val="24"/>
        </w:rPr>
        <w:t>NEWS RELEASE</w:t>
      </w:r>
    </w:p>
    <w:p>
      <w:pPr>
        <w:pStyle w:val="TextBody"/>
        <w:bidi w:val="0"/>
        <w:spacing w:before="0" w:after="0"/>
        <w:ind w:left="0" w:right="0" w:hanging="0"/>
        <w:jc w:val="left"/>
        <w:rPr/>
      </w:pPr>
      <w:r>
        <w:rPr/>
        <w:drawing>
          <wp:inline distT="0" distB="0" distL="0" distR="0">
            <wp:extent cx="3416300" cy="558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16300" cy="558800"/>
                    </a:xfrm>
                    <a:prstGeom prst="rect">
                      <a:avLst/>
                    </a:prstGeom>
                  </pic:spPr>
                </pic:pic>
              </a:graphicData>
            </a:graphic>
          </wp:inline>
        </w:drawing>
      </w:r>
    </w:p>
    <w:p>
      <w:pPr>
        <w:pStyle w:val="TextBody"/>
        <w:bidi w:val="0"/>
        <w:spacing w:before="0" w:after="0"/>
        <w:ind w:left="0" w:right="0" w:hanging="0"/>
        <w:jc w:val="left"/>
        <w:rPr/>
      </w:pPr>
      <w:r>
        <w:rPr/>
        <w:t> </w:t>
      </w:r>
    </w:p>
    <w:tbl>
      <w:tblPr>
        <w:tblW w:w="6220" w:type="dxa"/>
        <w:jc w:val="left"/>
        <w:tblInd w:w="0" w:type="dxa"/>
        <w:tblLayout w:type="fixed"/>
        <w:tblCellMar>
          <w:top w:w="30" w:type="dxa"/>
          <w:left w:w="30" w:type="dxa"/>
          <w:bottom w:w="30" w:type="dxa"/>
          <w:right w:w="30" w:type="dxa"/>
        </w:tblCellMar>
      </w:tblPr>
      <w:tblGrid>
        <w:gridCol w:w="3095"/>
        <w:gridCol w:w="3125"/>
      </w:tblGrid>
      <w:tr>
        <w:trPr/>
        <w:tc>
          <w:tcPr>
            <w:tcW w:w="3095"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MEDIA CONTACT:</w:t>
            </w:r>
          </w:p>
        </w:tc>
        <w:tc>
          <w:tcPr>
            <w:tcW w:w="3125"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INVESTOR CONTACT:</w:t>
            </w:r>
          </w:p>
        </w:tc>
      </w:tr>
      <w:tr>
        <w:trPr/>
        <w:tc>
          <w:tcPr>
            <w:tcW w:w="3095"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Sophia Hong</w:t>
            </w:r>
          </w:p>
        </w:tc>
        <w:tc>
          <w:tcPr>
            <w:tcW w:w="3125"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Rick Muscha</w:t>
            </w:r>
          </w:p>
        </w:tc>
      </w:tr>
      <w:tr>
        <w:trPr/>
        <w:tc>
          <w:tcPr>
            <w:tcW w:w="309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Lattice Semiconductor</w:t>
            </w:r>
          </w:p>
        </w:tc>
        <w:tc>
          <w:tcPr>
            <w:tcW w:w="312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Lattice Semiconductor</w:t>
            </w:r>
          </w:p>
        </w:tc>
      </w:tr>
      <w:tr>
        <w:trPr/>
        <w:tc>
          <w:tcPr>
            <w:tcW w:w="3095"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503-268-8786</w:t>
            </w:r>
          </w:p>
        </w:tc>
        <w:tc>
          <w:tcPr>
            <w:tcW w:w="3125"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408-826-6000</w:t>
            </w:r>
          </w:p>
        </w:tc>
      </w:tr>
      <w:tr>
        <w:trPr/>
        <w:tc>
          <w:tcPr>
            <w:tcW w:w="3095"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Sophia.Hong@latticesemi.com</w:t>
            </w:r>
          </w:p>
        </w:tc>
        <w:tc>
          <w:tcPr>
            <w:tcW w:w="3125"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Rick.Muscha@latticesemi.com</w:t>
            </w:r>
          </w:p>
        </w:tc>
      </w:tr>
    </w:tbl>
    <w:p>
      <w:pPr>
        <w:pStyle w:val="TextBody"/>
        <w:bidi w:val="0"/>
        <w:spacing w:before="0" w:after="0"/>
        <w:ind w:left="0" w:right="0" w:hanging="0"/>
        <w:jc w:val="center"/>
        <w:rPr/>
      </w:pPr>
      <w:r>
        <w:rPr/>
        <w:t> </w:t>
      </w:r>
    </w:p>
    <w:p>
      <w:pPr>
        <w:pStyle w:val="TextBody"/>
        <w:bidi w:val="0"/>
        <w:spacing w:before="160" w:after="160"/>
        <w:ind w:left="0" w:right="0" w:hanging="0"/>
        <w:jc w:val="center"/>
        <w:rPr>
          <w:rFonts w:ascii="Arial;Helvetica;sans-serif" w:hAnsi="Arial;Helvetica;sans-serif"/>
          <w:b/>
          <w:color w:val="000000"/>
          <w:sz w:val="28"/>
        </w:rPr>
      </w:pPr>
      <w:r>
        <w:rPr>
          <w:rFonts w:ascii="Arial;Helvetica;sans-serif" w:hAnsi="Arial;Helvetica;sans-serif"/>
          <w:b/>
          <w:color w:val="000000"/>
          <w:sz w:val="28"/>
        </w:rPr>
        <w:t>Lattice Semiconductor Completes Acquisition of AMI</w:t>
      </w:r>
    </w:p>
    <w:p>
      <w:pPr>
        <w:pStyle w:val="TextBody"/>
        <w:bidi w:val="0"/>
        <w:spacing w:before="160" w:after="160"/>
        <w:ind w:left="0" w:right="0" w:hanging="0"/>
        <w:jc w:val="center"/>
        <w:rPr>
          <w:color w:val="000000"/>
        </w:rPr>
      </w:pPr>
      <w:r>
        <w:rPr>
          <w:color w:val="000000"/>
        </w:rPr>
        <w:t xml:space="preserve">— </w:t>
      </w:r>
      <w:r>
        <w:rPr>
          <w:rFonts w:ascii="Arial;Helvetica;sans-serif" w:hAnsi="Arial;Helvetica;sans-serif"/>
          <w:i/>
          <w:color w:val="000000"/>
          <w:sz w:val="24"/>
        </w:rPr>
        <w:t xml:space="preserve">Creates Most Complete Secure Management and Control Platform </w:t>
      </w:r>
      <w:r>
        <w:rPr>
          <w:rFonts w:ascii="Arial;Helvetica;sans-serif" w:hAnsi="Arial;Helvetica;sans-serif"/>
          <w:color w:val="000000"/>
          <w:sz w:val="24"/>
        </w:rPr>
        <w:t>for Data Center AI and Physical AI —</w:t>
      </w:r>
    </w:p>
    <w:p>
      <w:pPr>
        <w:pStyle w:val="TextBody"/>
        <w:bidi w:val="0"/>
        <w:spacing w:before="160" w:after="160"/>
        <w:ind w:left="0" w:right="0" w:hanging="0"/>
        <w:jc w:val="center"/>
        <w:rPr>
          <w:color w:val="000000"/>
        </w:rPr>
      </w:pPr>
      <w:r>
        <w:rPr>
          <w:color w:val="000000"/>
        </w:rPr>
        <w:t xml:space="preserve">— </w:t>
      </w:r>
      <w:r>
        <w:rPr>
          <w:rFonts w:ascii="Arial;Helvetica;sans-serif" w:hAnsi="Arial;Helvetica;sans-serif"/>
          <w:i/>
          <w:color w:val="000000"/>
          <w:sz w:val="24"/>
        </w:rPr>
        <w:t xml:space="preserve">AMI and Lattice to Remain </w:t>
      </w:r>
      <w:r>
        <w:rPr>
          <w:rFonts w:ascii="Arial;Helvetica;sans-serif" w:hAnsi="Arial;Helvetica;sans-serif"/>
          <w:color w:val="000000"/>
          <w:sz w:val="24"/>
        </w:rPr>
        <w:t>Ecosystem-neutral, with Open Approach to Low Power Programmable FPGA and Platform Firmware —</w:t>
      </w:r>
    </w:p>
    <w:p>
      <w:pPr>
        <w:pStyle w:val="TextBody"/>
        <w:bidi w:val="0"/>
        <w:spacing w:before="160" w:after="0"/>
        <w:ind w:left="0" w:right="0" w:hanging="0"/>
        <w:jc w:val="center"/>
        <w:rPr>
          <w:color w:val="000000"/>
        </w:rPr>
      </w:pPr>
      <w:r>
        <w:rPr>
          <w:color w:val="000000"/>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b/>
          <w:sz w:val="22"/>
        </w:rPr>
        <w:t>HILLSBORO, Ore. – Jul. 27, 2026 – </w:t>
      </w:r>
      <w:r>
        <w:rPr>
          <w:rFonts w:ascii="Arial;Helvetica;sans-serif" w:hAnsi="Arial;Helvetica;sans-serif"/>
          <w:sz w:val="22"/>
        </w:rPr>
        <w:t>Lattice Semiconductor Corporation (NASDAQ: LSCC), the low power programmable leader, today announced the completion of its acquisition of AMI. First announced on May 4, 2026, the acquisition creates the industry's most complete secure management and control platform. The acquisition is expected to be accretive to gross margin, free cash flow, and earnings per share on a non-GAAP basis, and supports Lattice's trajectory toward a $1 billion or greater annual revenue run rate by end of 2026.</w:t>
      </w:r>
    </w:p>
    <w:p>
      <w:pPr>
        <w:pStyle w:val="TextBody"/>
        <w:bidi w:val="0"/>
        <w:spacing w:lineRule="auto" w:line="300"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The combination brings together Lattice's industry-leading low power FPGA expertise and AMI's market-leading platform firmware and infrastructure manageability technology for cloud and AI, significantly expanding Lattice’s capability, scale, customer set, and addressable market. As one company, they serve the critical convergence of hardware and firmware required by hyperscalers, OEMs, ODMs, and neocloud providers to address the escalating security, power, and performance demands of modern AI infrastructure.</w:t>
      </w:r>
    </w:p>
    <w:p>
      <w:pPr>
        <w:pStyle w:val="TextBody"/>
        <w:bidi w:val="0"/>
        <w:spacing w:lineRule="auto" w:line="300"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Ford Tamer, President and CEO, Lattice Semiconductor, commented: "With the close of this acquisition, Lattice and AMI begin a new chapter. Together, we offer even more benefits to our customers with differentiated low power programmable FPGA and firmware solutions. We're excited to welcome the talented AMI team to Lattice. We remain committed to the neutrality and openness that AMI and Lattice customers and partners have long relied on and trust us to provide."</w:t>
      </w:r>
    </w:p>
    <w:p>
      <w:pPr>
        <w:pStyle w:val="TextBody"/>
        <w:bidi w:val="0"/>
        <w:spacing w:lineRule="auto" w:line="300"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Sanjoy Maity, Senior Vice President and General Manager of the AMI business unit of Lattice Semiconductor, stated: "AMI has spent decades building significant firmware and manageability IP, deep domain expertise, and trust with the world's leading cloud and AI infrastructure providers. Joining Lattice – a long-time, trusted AMI innovation partner – gives us the expanded resources and platform to extend that leadership further, faster – while preserving the silicon-neutral approach that our customers value. We look forward to continuing to deliver meaningful, customer-centric AMI solutions and technology that enables the next era of AI infrastructure."</w:t>
      </w:r>
    </w:p>
    <w:p>
      <w:pPr>
        <w:pStyle w:val="TextBody"/>
        <w:bidi w:val="0"/>
        <w:spacing w:lineRule="auto" w:line="300"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left"/>
        <w:rPr>
          <w:rFonts w:ascii="Arial;Helvetica;sans-serif" w:hAnsi="Arial;Helvetica;sans-serif"/>
          <w:b/>
          <w:sz w:val="22"/>
        </w:rPr>
      </w:pPr>
      <w:r>
        <w:rPr>
          <w:rFonts w:ascii="Arial;Helvetica;sans-serif" w:hAnsi="Arial;Helvetica;sans-serif"/>
          <w:b/>
          <w:sz w:val="22"/>
        </w:rPr>
        <w:t>Leadership and Commitment to Silicon Neutrality and Openness</w:t>
      </w:r>
    </w:p>
    <w:p>
      <w:pPr>
        <w:pStyle w:val="TextBody"/>
        <w:bidi w:val="0"/>
        <w:spacing w:lineRule="auto" w:line="300"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AMI will operate as a dedicated business unit within Lattice Semiconductor under the name AMI, a Lattice Company. The AMI business unit will continue to be led by long-time AMI CEO, Sanjoy Maity, reporting directly to CEO Ford Tamer, and focused on delivering leadership platform firmware and infrastructure manageability innovation for cloud and AI.</w:t>
      </w:r>
    </w:p>
    <w:p>
      <w:pPr>
        <w:pStyle w:val="TextBody"/>
        <w:bidi w:val="0"/>
        <w:spacing w:lineRule="auto" w:line="300"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AMI's silicon-neutral, open approach to platform firmware and infrastructure manageability is the foundation of its trusted relationships with hyperscalers, OEMs, ODMs, neocloud providers, and partners worldwide. Lattice remains committed to this neutrality as AMI operates within the combined company. AMI's firmware and manageability solutions will continue to be developed and delivered without preference for any silicon vendor, including Lattice. AMI will continue to build, expand, and support its existing customer and partner relationships across the industry, with the AMI brand, product portfolio, and leadership team remaining intact to help ensure continuity.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sz w:val="22"/>
        </w:rPr>
      </w:pPr>
      <w:r>
        <w:rPr>
          <w:rFonts w:ascii="Arial;Helvetica;sans-serif" w:hAnsi="Arial;Helvetica;sans-serif"/>
          <w:b/>
          <w:caps w:val="false"/>
          <w:smallCaps w:val="false"/>
          <w:sz w:val="22"/>
        </w:rPr>
        <w:t>Financial Information / August 4, 2026 Earnings Call</w:t>
      </w:r>
    </w:p>
    <w:p>
      <w:pPr>
        <w:pStyle w:val="TextBody"/>
        <w:bidi w:val="0"/>
        <w:spacing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Lattice expects to provide additional information on AMI’s operating results and anticipated future performance when it reports its second quarter 2026 results on Tuesday, August 4, 2026. The dial-in number for the live audio call beginning on Tuesday, August 4, 2026, at 5 p.m. Eastern Time is 1-877-407-3982 or 1-201-493-6780 with conference identification number 13761016. A live webcast of the conference call will also be available on the investor relations section of www.latticesemi.com.</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b/>
          <w:sz w:val="22"/>
        </w:rPr>
      </w:pPr>
      <w:r>
        <w:rPr>
          <w:rFonts w:ascii="Arial;Helvetica;sans-serif" w:hAnsi="Arial;Helvetica;sans-serif"/>
          <w:b/>
          <w:sz w:val="22"/>
        </w:rPr>
        <w:t>About Lattice Semiconductor</w:t>
      </w:r>
    </w:p>
    <w:p>
      <w:pPr>
        <w:pStyle w:val="TextBody"/>
        <w:bidi w:val="0"/>
        <w:spacing w:lineRule="auto" w:line="360"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Lattice Semiconductor (NASDAQ: LSCC) is the low power programmable leader. We solve customer challenges from the Edge to the Cloud, in the growing Compute, Communications, Industrial, and Embedded markets. With the addition of AMI's industry-leading, silicon-neutral platform firmware and infrastructure manageability solutions, Lattice now delivers the industry's most complete secure management and control platform for cloud and AI data center infrastructure. Our technology, long-standing relationships, and commitment to world-class support let our customers quickly and easily unleash their innovation to create a smart, secure, and connected world. For more information about Lattice, please visit </w:t>
      </w:r>
      <w:r>
        <w:rPr>
          <w:rFonts w:ascii="Arial;Helvetica;sans-serif" w:hAnsi="Arial;Helvetica;sans-serif"/>
          <w:sz w:val="22"/>
          <w:u w:val="single"/>
        </w:rPr>
        <w:t>www.latticesemi.com</w:t>
      </w:r>
      <w:r>
        <w:rPr>
          <w:rFonts w:ascii="Arial;Helvetica;sans-serif" w:hAnsi="Arial;Helvetica;sans-serif"/>
          <w:sz w:val="22"/>
        </w:rPr>
        <w:t xml:space="preserve"> and follow us via </w:t>
      </w:r>
      <w:r>
        <w:rPr>
          <w:rFonts w:ascii="Arial;Helvetica;sans-serif" w:hAnsi="Arial;Helvetica;sans-serif"/>
          <w:sz w:val="22"/>
          <w:u w:val="single"/>
        </w:rPr>
        <w:t>LinkedIn</w:t>
      </w:r>
      <w:r>
        <w:rPr>
          <w:rFonts w:ascii="Arial;Helvetica;sans-serif" w:hAnsi="Arial;Helvetica;sans-serif"/>
          <w:sz w:val="22"/>
        </w:rPr>
        <w:t>, </w:t>
      </w:r>
      <w:r>
        <w:rPr>
          <w:rFonts w:ascii="Arial;Helvetica;sans-serif" w:hAnsi="Arial;Helvetica;sans-serif"/>
          <w:sz w:val="22"/>
          <w:u w:val="single"/>
        </w:rPr>
        <w:t>X</w:t>
      </w:r>
      <w:r>
        <w:rPr>
          <w:rFonts w:ascii="Arial;Helvetica;sans-serif" w:hAnsi="Arial;Helvetica;sans-serif"/>
          <w:sz w:val="22"/>
        </w:rPr>
        <w:t>, </w:t>
      </w:r>
      <w:r>
        <w:rPr>
          <w:rFonts w:ascii="Arial;Helvetica;sans-serif" w:hAnsi="Arial;Helvetica;sans-serif"/>
          <w:sz w:val="22"/>
          <w:u w:val="single"/>
        </w:rPr>
        <w:t>YouTube</w:t>
      </w:r>
      <w:r>
        <w:rPr>
          <w:rFonts w:ascii="Arial;Helvetica;sans-serif" w:hAnsi="Arial;Helvetica;sans-serif"/>
          <w:sz w:val="22"/>
        </w:rPr>
        <w:t>, </w:t>
      </w:r>
      <w:r>
        <w:rPr>
          <w:rFonts w:ascii="Arial;Helvetica;sans-serif" w:hAnsi="Arial;Helvetica;sans-serif"/>
          <w:sz w:val="22"/>
          <w:u w:val="single"/>
        </w:rPr>
        <w:t>Facebook</w:t>
      </w:r>
      <w:r>
        <w:rPr>
          <w:rFonts w:ascii="Arial;Helvetica;sans-serif" w:hAnsi="Arial;Helvetica;sans-serif"/>
          <w:sz w:val="22"/>
        </w:rPr>
        <w:t>, </w:t>
      </w:r>
      <w:r>
        <w:rPr>
          <w:rFonts w:ascii="Arial;Helvetica;sans-serif" w:hAnsi="Arial;Helvetica;sans-serif"/>
          <w:sz w:val="22"/>
          <w:u w:val="single"/>
        </w:rPr>
        <w:t>WeChat</w:t>
      </w:r>
      <w:r>
        <w:rPr>
          <w:rFonts w:ascii="Arial;Helvetica;sans-serif" w:hAnsi="Arial;Helvetica;sans-serif"/>
          <w:sz w:val="22"/>
        </w:rPr>
        <w:t xml:space="preserve">, and </w:t>
      </w:r>
      <w:r>
        <w:rPr>
          <w:rFonts w:ascii="Arial;Helvetica;sans-serif" w:hAnsi="Arial;Helvetica;sans-serif"/>
          <w:sz w:val="22"/>
          <w:u w:val="single"/>
        </w:rPr>
        <w:t>Weibo</w:t>
      </w:r>
      <w:r>
        <w:rPr>
          <w:rFonts w:ascii="Arial;Helvetica;sans-serif" w:hAnsi="Arial;Helvetica;sans-serif"/>
          <w:sz w:val="22"/>
        </w:rPr>
        <w:t>.</w:t>
      </w:r>
    </w:p>
    <w:p>
      <w:pPr>
        <w:pStyle w:val="TextBody"/>
        <w:bidi w:val="0"/>
        <w:spacing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b/>
          <w:sz w:val="22"/>
        </w:rPr>
      </w:pPr>
      <w:r>
        <w:rPr>
          <w:rFonts w:ascii="Arial;Helvetica;sans-serif" w:hAnsi="Arial;Helvetica;sans-serif"/>
          <w:b/>
          <w:sz w:val="22"/>
        </w:rPr>
        <w:t>About AMI</w:t>
      </w:r>
    </w:p>
    <w:p>
      <w:pPr>
        <w:pStyle w:val="TextBody"/>
        <w:bidi w:val="0"/>
        <w:spacing w:lineRule="auto" w:line="360"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 xml:space="preserve">AMI, a Lattice Company, is a global leader in dynamic firmware for security, orchestration, and manageability solutions, enabling the world's compute platforms – from hyperscale data centers to AI factories to the cloud and the edge. AMI's open, silicon-neutral firmware and manageability solutions support the broadest ecosystem of compute platforms, and its industry-leading foundational technology and unwavering customer support have generated lasting partnerships and spurred innovation for some of the most prominent brands in the high-tech industry. For more information, visit </w:t>
      </w:r>
      <w:r>
        <w:rPr>
          <w:rFonts w:ascii="Arial;Helvetica;sans-serif" w:hAnsi="Arial;Helvetica;sans-serif"/>
          <w:sz w:val="22"/>
          <w:u w:val="single"/>
        </w:rPr>
        <w:t>www.ami.com</w:t>
      </w:r>
      <w:r>
        <w:rPr>
          <w:rFonts w:ascii="Arial;Helvetica;sans-serif" w:hAnsi="Arial;Helvetica;sans-serif"/>
          <w:sz w:val="22"/>
        </w:rPr>
        <w:t xml:space="preserve"> and follow AMI on </w:t>
      </w:r>
      <w:r>
        <w:rPr>
          <w:rFonts w:ascii="Arial;Helvetica;sans-serif" w:hAnsi="Arial;Helvetica;sans-serif"/>
          <w:sz w:val="22"/>
          <w:u w:val="single"/>
        </w:rPr>
        <w:t>LinkedIn</w:t>
      </w:r>
      <w:r>
        <w:rPr>
          <w:rFonts w:ascii="Arial;Helvetica;sans-serif" w:hAnsi="Arial;Helvetica;sans-serif"/>
          <w:sz w:val="22"/>
        </w:rPr>
        <w:t xml:space="preserve">, </w:t>
      </w:r>
      <w:r>
        <w:rPr>
          <w:rFonts w:ascii="Arial;Helvetica;sans-serif" w:hAnsi="Arial;Helvetica;sans-serif"/>
          <w:sz w:val="22"/>
          <w:u w:val="single"/>
        </w:rPr>
        <w:t>X</w:t>
      </w:r>
      <w:r>
        <w:rPr>
          <w:rFonts w:ascii="Arial;Helvetica;sans-serif" w:hAnsi="Arial;Helvetica;sans-serif"/>
          <w:sz w:val="22"/>
        </w:rPr>
        <w:t xml:space="preserve">, </w:t>
      </w:r>
      <w:r>
        <w:rPr>
          <w:rFonts w:ascii="Arial;Helvetica;sans-serif" w:hAnsi="Arial;Helvetica;sans-serif"/>
          <w:sz w:val="22"/>
          <w:u w:val="single"/>
        </w:rPr>
        <w:t>YouTube</w:t>
      </w:r>
      <w:r>
        <w:rPr>
          <w:rFonts w:ascii="Arial;Helvetica;sans-serif" w:hAnsi="Arial;Helvetica;sans-serif"/>
          <w:sz w:val="22"/>
        </w:rPr>
        <w:t xml:space="preserve">, and </w:t>
      </w:r>
      <w:r>
        <w:rPr>
          <w:rFonts w:ascii="Arial;Helvetica;sans-serif" w:hAnsi="Arial;Helvetica;sans-serif"/>
          <w:sz w:val="22"/>
          <w:u w:val="single"/>
        </w:rPr>
        <w:t>Facebook</w:t>
      </w:r>
      <w:r>
        <w:rPr>
          <w:rFonts w:ascii="Arial;Helvetica;sans-serif" w:hAnsi="Arial;Helvetica;sans-serif"/>
          <w:sz w:val="22"/>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360" w:before="0" w:after="0"/>
        <w:ind w:left="0" w:right="0" w:hanging="0"/>
        <w:jc w:val="left"/>
        <w:rPr>
          <w:rFonts w:ascii="Arial;Helvetica;sans-serif" w:hAnsi="Arial;Helvetica;sans-serif"/>
          <w:b/>
          <w:sz w:val="22"/>
        </w:rPr>
      </w:pPr>
      <w:r>
        <w:rPr>
          <w:rFonts w:ascii="Arial;Helvetica;sans-serif" w:hAnsi="Arial;Helvetica;sans-serif"/>
          <w:b/>
          <w:sz w:val="22"/>
        </w:rPr>
        <w:t>Forward-Looking Statements</w:t>
      </w:r>
    </w:p>
    <w:p>
      <w:pPr>
        <w:pStyle w:val="TextBody"/>
        <w:bidi w:val="0"/>
        <w:spacing w:lineRule="auto" w:line="360" w:before="0" w:after="0"/>
        <w:ind w:left="0" w:right="0" w:hanging="0"/>
        <w:jc w:val="left"/>
        <w:rPr/>
      </w:pPr>
      <w:r>
        <w:rPr/>
        <w:t> </w:t>
      </w:r>
    </w:p>
    <w:p>
      <w:pPr>
        <w:pStyle w:val="TextBody"/>
        <w:bidi w:val="0"/>
        <w:spacing w:lineRule="auto" w:line="336" w:before="0" w:after="0"/>
        <w:ind w:left="0" w:right="0" w:hanging="0"/>
        <w:jc w:val="left"/>
        <w:rPr>
          <w:rFonts w:ascii="Arial;Helvetica;sans-serif" w:hAnsi="Arial;Helvetica;sans-serif"/>
          <w:sz w:val="22"/>
        </w:rPr>
      </w:pPr>
      <w:r>
        <w:rPr>
          <w:rFonts w:ascii="Arial;Helvetica;sans-serif" w:hAnsi="Arial;Helvetica;sans-serif"/>
          <w:sz w:val="22"/>
        </w:rPr>
        <w:t>This press release contains forward looking statements within the meaning of the Private Securities Litigation Reform Act of 1995 and made pursuant to the safe harbor provisions of Section 27A of the Securities Act of 1933, as amended, and Section 21E of the Securities Exchange Act of 1934, as amended. Forward-looking statements in this press release include, but are not limited to, statements relating to our expectations regarding: the acceleration of customer time to market, expansion of capabilities, scale, customers, and addressable market, the impact of the acquisition on our customers and shareholders, our business and financial performance (including that the acquisition is expected to be accretive to gross margin, free cash flow, and EPS on a non-GAAP basis, and supports Lattice’s trajectory toward a $1 billion or greater annual revenue run rate by end of 2026), our position in the market, our plans, objectives, and expectations regarding the operation and integration of the AMI business, the continued development and delivery of silicon-neutral and ecosystem-neutral solutions, the maintenance and expansion of customer, partner, and industry relationships, and other expected benefits of the acquisition. These statements are based on current expectations and assumptions and involve risks and uncertainties that could cause actual results to differ materially. Factors that could affect outcomes include: the risk that Lattice may fail to realize the anticipated benefits, synergies, or cost savings of the acquisition within the expected timeframe or at all; possible disruption related to the acquisition and its integration from Lattice’s or AMI’s current plans, operations and business relationships, including through the loss of customers and employees; the amount of the costs, fees, expenses and other charges incurred by Lattice related to the acquisition; the risk that Lattice’s stock price may fluctuate and may decline if the benefits of the acquisition are not realized; the diversion of Lattice management’s time and attention from ongoing business operations and opportunities to matters relating to integration; the response of competitors and other market participants to the acquisition; the ability of Lattice and AMI to retain key personnel; the risk that Lattice will not successfully integrate AMI's businesses with Lattice's businesses within the anticipated timeframe, or that such integration will be more difficult, costly, or time-consuming than anticipated; potential litigation relating to the acquisition; and other risks detailed in Lattice’s filings with the Securities and Exchange Commission. Lattice undertakes no obligation to update or revise forward looking statements, except as required by law.</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left"/>
        <w:rPr/>
      </w:pPr>
      <w:r>
        <w:rPr/>
        <w:t> </w:t>
      </w:r>
    </w:p>
    <w:p>
      <w:pPr>
        <w:pStyle w:val="TextBody"/>
        <w:bidi w:val="0"/>
        <w:spacing w:lineRule="auto" w:line="360" w:before="0" w:after="0"/>
        <w:ind w:left="0" w:right="0" w:hanging="0"/>
        <w:jc w:val="center"/>
        <w:rPr>
          <w:rFonts w:ascii="Arial;Helvetica;sans-serif" w:hAnsi="Arial;Helvetica;sans-serif"/>
          <w:sz w:val="22"/>
        </w:rPr>
      </w:pPr>
      <w:r>
        <w:rPr>
          <w:rFonts w:ascii="Arial;Helvetica;sans-serif" w:hAnsi="Arial;Helvetica;sans-serif"/>
          <w:sz w:val="22"/>
        </w:rPr>
        <w:t># # # </w:t>
      </w:r>
    </w:p>
    <w:p>
      <w:pPr>
        <w:pStyle w:val="TextBody"/>
        <w:bidi w:val="0"/>
        <w:spacing w:lineRule="auto" w:line="360" w:before="0" w:after="160"/>
        <w:ind w:left="0" w:right="0" w:hanging="0"/>
        <w:jc w:val="left"/>
        <w:rPr/>
      </w:pPr>
      <w:r>
        <w:rPr/>
        <w:t> </w:t>
      </w:r>
    </w:p>
    <w:p>
      <w:pPr>
        <w:pStyle w:val="TextBody"/>
        <w:bidi w:val="0"/>
        <w:spacing w:lineRule="auto" w:line="360" w:before="0" w:after="160"/>
        <w:ind w:left="0" w:right="0" w:hanging="0"/>
        <w:jc w:val="left"/>
        <w:rPr>
          <w:rFonts w:ascii="Arial;Helvetica;sans-serif" w:hAnsi="Arial;Helvetica;sans-serif"/>
          <w:sz w:val="16"/>
        </w:rPr>
      </w:pPr>
      <w:r>
        <w:rPr>
          <w:rFonts w:ascii="Arial;Helvetica;sans-serif" w:hAnsi="Arial;Helvetica;sans-serif"/>
          <w:sz w:val="16"/>
        </w:rPr>
        <w:t>Lattice Semiconductor Corporation, Lattice Semiconductor (&amp; design), AMI, and specific product designations are either registered trademarks or trademarks of Lattice Semiconductor Corporation or its subsidiaries in the United States and/or other countries. The use of the word “partner” does not imply a legal partnership between Lattice and any other entity.</w:t>
      </w:r>
    </w:p>
    <w:p>
      <w:pPr>
        <w:pStyle w:val="TextBody"/>
        <w:bidi w:val="0"/>
        <w:spacing w:lineRule="auto" w:line="360" w:before="0" w:after="160"/>
        <w:ind w:left="0" w:right="0" w:hanging="0"/>
        <w:jc w:val="left"/>
        <w:rPr>
          <w:rFonts w:ascii="Arial;Helvetica;sans-serif" w:hAnsi="Arial;Helvetica;sans-serif"/>
          <w:sz w:val="16"/>
        </w:rPr>
      </w:pPr>
      <w:r>
        <w:rPr>
          <w:rFonts w:ascii="Arial;Helvetica;sans-serif" w:hAnsi="Arial;Helvetica;sans-serif"/>
          <w:b/>
          <w:sz w:val="16"/>
        </w:rPr>
        <w:t>GENERAL NOTICE:</w:t>
      </w:r>
      <w:r>
        <w:rPr>
          <w:rFonts w:ascii="Arial;Helvetica;sans-serif" w:hAnsi="Arial;Helvetica;sans-serif"/>
          <w:sz w:val="16"/>
        </w:rPr>
        <w:t xml:space="preserve"> Other product names used in this publication are for identification purposes only and may be trademarks of their respective holders.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center"/>
        <w:rPr>
          <w:rFonts w:ascii="Times New Roman" w:hAnsi="Times New Roman"/>
          <w:sz w:val="20"/>
        </w:rPr>
      </w:pPr>
      <w:r>
        <w:rPr>
          <w:rFonts w:ascii="Times New Roman" w:hAnsi="Times New Roman"/>
          <w:sz w:val="2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13522</Words>
  <Characters>72242</Characters>
  <CharactersWithSpaces>86276</CharactersWithSpaces>
  <Paragraphs>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