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Skillern Raejeanne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LATTICE SEMICONDUCTOR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LSCC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5555 NE MOORE COURT</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HILLSBORO OR</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97124</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620" w:type="dxa"/>
            <w:vAlign w:val="bottom"/>
          </w:tcPr>
          <w:p>
            <w:pPr>
              <w:spacing w:after="0"/>
              <w:rPr>
                <w:sz w:val="22"/>
                <w:szCs w:val="22"/>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000FF"/>
                <w:w w:val="96"/>
              </w:rPr>
              <w:t>D</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060" w:type="dxa"/>
            <w:vAlign w:val="bottom"/>
            <w:tcBorders>
              <w:bottom w:val="single" w:sz="8" w:color="2C2C2C"/>
            </w:tcBorders>
            <w:gridSpan w:val="4"/>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0000FF"/>
                <w:w w:val="95"/>
              </w:rPr>
              <w:t>/s/ Tracy Feanny, Attorney</w:t>
            </w:r>
          </w:p>
        </w:tc>
        <w:tc>
          <w:tcPr>
            <w:tcW w:w="7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in Fact For: Raejeanne</w:t>
            </w:r>
          </w:p>
        </w:tc>
        <w:tc>
          <w:tcPr>
            <w:tcW w:w="2420" w:type="dxa"/>
            <w:vAlign w:val="bottom"/>
            <w:gridSpan w:val="5"/>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10/30/2026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Skillern</w:t>
            </w:r>
          </w:p>
        </w:tc>
        <w:tc>
          <w:tcPr>
            <w:tcW w:w="380" w:type="dxa"/>
            <w:vAlign w:val="bottom"/>
            <w:tcBorders>
              <w:top w:val="single" w:sz="8" w:color="auto"/>
            </w:tcBorders>
            <w:gridSpan w:val="2"/>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as a Section 16 reporting person of Lattice Semiconductor Corporation (the “Company”), hereby constitutes and appoints each of Jared Josephsen, Deborah Donahue, Tracy Feanny, and Steven Hasenmyer, acting individually, as the undersigned’s true and lawful attorney-in-fact and agent to:</w:t>
      </w:r>
    </w:p>
    <w:p>
      <w:pPr>
        <w:spacing w:after="0" w:line="192" w:lineRule="exact"/>
        <w:rPr>
          <w:sz w:val="20"/>
          <w:szCs w:val="20"/>
          <w:color w:val="auto"/>
        </w:rPr>
      </w:pPr>
    </w:p>
    <w:p>
      <w:pPr>
        <w:ind w:left="360" w:hanging="360"/>
        <w:spacing w:after="0"/>
        <w:tabs>
          <w:tab w:leader="none" w:pos="3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EDGAR Filing Authority</w:t>
      </w:r>
    </w:p>
    <w:p>
      <w:pPr>
        <w:spacing w:after="0" w:line="254" w:lineRule="exact"/>
        <w:rPr>
          <w:rFonts w:ascii="Times New Roman" w:cs="Times New Roman" w:eastAsia="Times New Roman" w:hAnsi="Times New Roman"/>
          <w:sz w:val="20"/>
          <w:szCs w:val="20"/>
          <w:b w:val="1"/>
          <w:bCs w:val="1"/>
          <w:color w:val="auto"/>
        </w:rPr>
      </w:pPr>
    </w:p>
    <w:p>
      <w:pPr>
        <w:ind w:left="360"/>
        <w:spacing w:after="0" w:line="282" w:lineRule="auto"/>
        <w:tabs>
          <w:tab w:leader="none" w:pos="498"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submit Form ID applications for purposes of creating and/or obtaining the undersigned’s Central Index Key (CIK) number and CIK confirmation code (CCC) as necessary for EDGAR access and the filing of Forms 3, 4, and 5;</w:t>
      </w:r>
    </w:p>
    <w:p>
      <w:pPr>
        <w:spacing w:after="0" w:line="179" w:lineRule="exact"/>
        <w:rPr>
          <w:rFonts w:ascii="Times New Roman" w:cs="Times New Roman" w:eastAsia="Times New Roman" w:hAnsi="Times New Roman"/>
          <w:sz w:val="20"/>
          <w:szCs w:val="20"/>
          <w:color w:val="auto"/>
        </w:rPr>
      </w:pPr>
    </w:p>
    <w:p>
      <w:pPr>
        <w:jc w:val="both"/>
        <w:ind w:left="360"/>
        <w:spacing w:after="0" w:line="261" w:lineRule="auto"/>
        <w:tabs>
          <w:tab w:leader="none" w:pos="492"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or regulations, as a consequence of the undersigned’s ownership, acquisition or disposition of securities of the Company; and</w:t>
      </w:r>
    </w:p>
    <w:p>
      <w:pPr>
        <w:spacing w:after="0" w:line="200" w:lineRule="exact"/>
        <w:rPr>
          <w:rFonts w:ascii="Times New Roman" w:cs="Times New Roman" w:eastAsia="Times New Roman" w:hAnsi="Times New Roman"/>
          <w:sz w:val="20"/>
          <w:szCs w:val="20"/>
          <w:color w:val="auto"/>
        </w:rPr>
      </w:pPr>
    </w:p>
    <w:p>
      <w:pPr>
        <w:ind w:left="360"/>
        <w:spacing w:after="0" w:line="282" w:lineRule="auto"/>
        <w:tabs>
          <w:tab w:leader="none" w:pos="512"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175" w:lineRule="exact"/>
        <w:rPr>
          <w:rFonts w:ascii="Times New Roman" w:cs="Times New Roman" w:eastAsia="Times New Roman" w:hAnsi="Times New Roman"/>
          <w:sz w:val="20"/>
          <w:szCs w:val="20"/>
          <w:color w:val="auto"/>
        </w:rPr>
      </w:pPr>
    </w:p>
    <w:p>
      <w:pPr>
        <w:ind w:left="580" w:hanging="370"/>
        <w:spacing w:after="0"/>
        <w:tabs>
          <w:tab w:leader="none" w:pos="580" w:val="left"/>
        </w:tabs>
        <w:numPr>
          <w:ilvl w:val="1"/>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 Administrator Authority</w:t>
      </w:r>
    </w:p>
    <w:p>
      <w:pPr>
        <w:spacing w:after="0" w:line="254" w:lineRule="exact"/>
        <w:rPr>
          <w:rFonts w:ascii="Times New Roman" w:cs="Times New Roman" w:eastAsia="Times New Roman" w:hAnsi="Times New Roman"/>
          <w:sz w:val="20"/>
          <w:szCs w:val="20"/>
          <w:b w:val="1"/>
          <w:bCs w:val="1"/>
          <w:color w:val="auto"/>
        </w:rPr>
      </w:pPr>
    </w:p>
    <w:p>
      <w:pPr>
        <w:ind w:left="480" w:hanging="120"/>
        <w:spacing w:after="0"/>
        <w:tabs>
          <w:tab w:leader="none" w:pos="48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as “account administrators” pursuant to the SEC’s EDGAR system;</w:t>
      </w:r>
    </w:p>
    <w:p>
      <w:pPr>
        <w:spacing w:after="0" w:line="250" w:lineRule="exact"/>
        <w:rPr>
          <w:rFonts w:ascii="Times New Roman" w:cs="Times New Roman" w:eastAsia="Times New Roman" w:hAnsi="Times New Roman"/>
          <w:sz w:val="20"/>
          <w:szCs w:val="20"/>
          <w:color w:val="auto"/>
        </w:rPr>
      </w:pPr>
    </w:p>
    <w:p>
      <w:pPr>
        <w:ind w:left="480" w:hanging="120"/>
        <w:spacing w:after="0"/>
        <w:tabs>
          <w:tab w:leader="none" w:pos="48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remove, and replace account administrators, technical administrators, account users and delegated entities;</w:t>
      </w:r>
    </w:p>
    <w:p>
      <w:pPr>
        <w:spacing w:after="0" w:line="250" w:lineRule="exact"/>
        <w:rPr>
          <w:rFonts w:ascii="Times New Roman" w:cs="Times New Roman" w:eastAsia="Times New Roman" w:hAnsi="Times New Roman"/>
          <w:sz w:val="20"/>
          <w:szCs w:val="20"/>
          <w:color w:val="auto"/>
        </w:rPr>
      </w:pPr>
    </w:p>
    <w:p>
      <w:pPr>
        <w:ind w:left="480" w:hanging="120"/>
        <w:spacing w:after="0"/>
        <w:tabs>
          <w:tab w:leader="none" w:pos="48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the security of the EDGAR account, including access code modifications;</w:t>
      </w:r>
    </w:p>
    <w:p>
      <w:pPr>
        <w:spacing w:after="0" w:line="250" w:lineRule="exact"/>
        <w:rPr>
          <w:rFonts w:ascii="Times New Roman" w:cs="Times New Roman" w:eastAsia="Times New Roman" w:hAnsi="Times New Roman"/>
          <w:sz w:val="20"/>
          <w:szCs w:val="20"/>
          <w:color w:val="auto"/>
        </w:rPr>
      </w:pPr>
    </w:p>
    <w:p>
      <w:pPr>
        <w:ind w:left="480" w:hanging="120"/>
        <w:spacing w:after="0"/>
        <w:tabs>
          <w:tab w:leader="none" w:pos="48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and certify information on the EDGAR dashboard; and</w:t>
      </w:r>
    </w:p>
    <w:p>
      <w:pPr>
        <w:spacing w:after="0" w:line="250" w:lineRule="exact"/>
        <w:rPr>
          <w:rFonts w:ascii="Times New Roman" w:cs="Times New Roman" w:eastAsia="Times New Roman" w:hAnsi="Times New Roman"/>
          <w:sz w:val="20"/>
          <w:szCs w:val="20"/>
          <w:color w:val="auto"/>
        </w:rPr>
      </w:pPr>
    </w:p>
    <w:p>
      <w:pPr>
        <w:ind w:left="480" w:hanging="120"/>
        <w:spacing w:after="0"/>
        <w:tabs>
          <w:tab w:leader="none" w:pos="48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actions as contemplated by Rule 10 of Regulation S-T.</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ind w:left="680" w:hanging="365"/>
        <w:spacing w:after="0"/>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 of Authorization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shall remain in full force and effective until the earliest of:</w:t>
      </w:r>
    </w:p>
    <w:p>
      <w:pPr>
        <w:spacing w:after="0" w:line="250" w:lineRule="exact"/>
        <w:rPr>
          <w:sz w:val="20"/>
          <w:szCs w:val="20"/>
          <w:color w:val="auto"/>
        </w:rPr>
      </w:pPr>
    </w:p>
    <w:p>
      <w:pPr>
        <w:ind w:left="720" w:right="680" w:hanging="360"/>
        <w:spacing w:after="0" w:line="26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no longer subject to Section 16 filing requirements with respect to the undersigned’s holdings of and transactions in securities issued by the Company;</w:t>
      </w:r>
    </w:p>
    <w:p>
      <w:pPr>
        <w:ind w:left="720" w:right="200" w:hanging="360"/>
        <w:spacing w:after="0" w:line="25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applicable account administrators are removed as account administrators on the undersigned’s EDGAR account; or</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revocation delivered to the Company and the foregoing attorneys-in-fact.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set forth below.</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Raejeanne Skillern_______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Raejeanne Skillern_________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10/28/26_________________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6684" TargetMode="External"/><Relationship Id="rId11"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2026-10-30T12:44:06Z</dcterms:created>
  <dcterms:modified xsi:type="dcterms:W3CDTF">2026-10-30T12:44:06Z</dcterms:modified>
</cp:coreProperties>
</file>