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rdgdoc.xml.htm"/>
      <w:bookmarkStart w:id="1" w:name="ksrdg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Elashmawi Esam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5555 NE MOORE COURT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HILLSBORO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97124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LATTICE SEMICONDUCTOR CORP</w:t>
              </w:r>
            </w:hyperlink>
            <w:r>
              <w:rPr/>
              <w:t xml:space="preserve"> [ </w:t>
            </w:r>
            <w:r>
              <w:rPr>
                <w:rFonts w:ascii="Times;serif" w:hAnsi="Times;serif"/>
                <w:color w:val="0000FF"/>
                <w:sz w:val="24"/>
                <w:shd w:fill="FFFFFF" w:val="clear"/>
              </w:rPr>
              <w:t>LSCC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Strategy and Marketing</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06/30/2026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73"/>
        <w:gridCol w:w="373"/>
        <w:gridCol w:w="798"/>
        <w:gridCol w:w="451"/>
        <w:gridCol w:w="923"/>
        <w:gridCol w:w="1156"/>
        <w:gridCol w:w="993"/>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V</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317</w:t>
            </w:r>
            <w:r>
              <w:rPr>
                <w:rFonts w:ascii="Times;serif" w:hAnsi="Times;serif"/>
                <w:color w:val="008000"/>
                <w:position w:val="7"/>
                <w:sz w:val="16"/>
                <w:sz w:val="20"/>
                <w:shd w:fill="FFFFFF" w:val="clear"/>
              </w:rPr>
              <w:t>(1)</w:t>
            </w:r>
            <w:r>
              <w:rPr/>
              <w:t xml:space="preserve"> </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66.8525</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172,708</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07/10/2026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(2)</w:t>
            </w:r>
            <w:r>
              <w:rPr/>
              <w:t xml:space="preserve"> </w:t>
            </w:r>
          </w:p>
        </w:tc>
        <w:tc>
          <w:tcPr>
            <w:tcW w:w="3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515</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137.44</w:t>
            </w:r>
            <w:r>
              <w:rPr/>
              <w:t xml:space="preserve"> </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172,193</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acquired under the Issuer's 2012 Employee Stock Purchase Plan ("ESPP") in a transaction that was exempt under both Rule 16b-3(d) and Rule 16b-3(c). The acquisition reflects the officer's participation in the ESPP through payroll deductions during the applicable offering period.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shares were retained by the Issuer in order to meet the tax withholding obligations of the Reporting Person in connection with the vesting of an installment of the restricted stock units. The amount retained by the Issuer was not in excess of the amount of the tax liability.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Tracy Feanny, Attorney in Fact For: Esam Elashmawi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56011" TargetMode="External"/><Relationship Id="rId5" Type="http://schemas.openxmlformats.org/officeDocument/2006/relationships/hyperlink" Target="http://www.sec.gov/cgi-bin/browse-edgar?action=getcompany&amp;CIK=00008556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669</Words>
  <Characters>3611</Characters>
  <CharactersWithSpaces>4213</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