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lscc20261021_8k.htm"/>
      <w:bookmarkStart w:id="1" w:name="kslscc20261021_8k"/>
      <w:bookmarkEnd w:id="0"/>
      <w:bookmarkEnd w:id="1"/>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 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CURRENT REPORT</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October 21,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Lattice Semiconductor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Delaware</w:t>
            </w:r>
          </w:p>
        </w:tc>
        <w:tc>
          <w:tcPr>
            <w:tcW w:w="2210"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000-18032</w:t>
            </w:r>
          </w:p>
        </w:tc>
        <w:tc>
          <w:tcPr>
            <w:tcW w:w="276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93-0835214</w:t>
            </w:r>
          </w:p>
        </w:tc>
      </w:tr>
      <w:tr>
        <w:trPr/>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5555 NE Moore Court</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Hillsboro, Oregon 97124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(503) 268-8000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 </w:t>
      </w:r>
    </w:p>
    <w:tbl>
      <w:tblPr>
        <w:tblW w:w="7440" w:type="dxa"/>
        <w:jc w:val="left"/>
        <w:tblInd w:w="0" w:type="dxa"/>
        <w:tblLayout w:type="fixed"/>
        <w:tblCellMar>
          <w:top w:w="0" w:type="dxa"/>
          <w:left w:w="0" w:type="dxa"/>
          <w:bottom w:w="0" w:type="dxa"/>
          <w:right w:w="0" w:type="dxa"/>
        </w:tblCellMar>
      </w:tblPr>
      <w:tblGrid>
        <w:gridCol w:w="2525"/>
        <w:gridCol w:w="1340"/>
        <w:gridCol w:w="3575"/>
      </w:tblGrid>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$.01 par value</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LSCC</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21, 2026, the Board of Directors (the “Board”) of Lattice Semiconductor Corporation (the “Company”) increased the authorized number of directors on the Board from 8 to 10 and appointed John McCool, age 67, and Raejeanne Skillern, age 56, to the Board, effective October 21, 2026. The Board has not yet determined the committees of the Board to which Mr. McCool and Ms. Skillern will be appointed. The Board has determined that each of Mr. McCool and Ms. Skillern is independent under the applicable listing standards of The Nasdaq Stock Market LLC.</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their service as directors, Mr. McCool and Ms. Skillern will each be entitled to the Company’s customary compensatory arrangements for non-employee directors, including an annual cash retainer of $80,000 for Board service. In addition, each of Mr. McCool and Ms. Skillern will be granted a restricted stock unit (“RSU”) award with a fair market value of $220,000 on the date of grant, prorated to reflect the number of months of service on the Board from the date of appointment to the date of the Company’s next annual meeting of stockholders, pursuant to the terms of the Company’s 2011 Non-Employee Director Equity Incentive Plan (each, an “Award”). The RSUs subject to each Award will vest on May 4, 2027, subject to the director’s continued service to the Company through such date. Each of Mr. McCool and Ms. Skillern will also enter into the Company’s standard form of indemnification agreement.</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Ms. Skillern previously served as a member of the Board from September 2022 to May 2024.</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are no arrangements or understandings between either Mr. McCool or Ms. Skillern and any other person pursuant to which either was selected as a director. In addition, there are no transactions in which either Mr. McCool or Ms. Skillern has an interest that would require disclosure under Item 404(a) of Regulation S-K. Neither Mr. McCool nor Ms. Skillern has any family relationship with any of the Company’s directors or executive officers.</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7.01. Regulation FD Disclosure.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22, 2026, the Company issued a press release in connection with the matters described above. A copy of the press release is furnished as Exhibit 99.1 to this Current Report on Form 8-K and is incorporated herein by reference.</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set forth under this Item 7.01, including Exhibit 99.1 attached hereto,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9.01. Financial Statements and Exhibits.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being furnished herewith:</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895" w:type="dxa"/>
        <w:jc w:val="left"/>
        <w:tblInd w:w="0" w:type="dxa"/>
        <w:tblLayout w:type="fixed"/>
        <w:tblCellMar>
          <w:top w:w="0" w:type="dxa"/>
          <w:left w:w="0" w:type="dxa"/>
          <w:bottom w:w="0" w:type="dxa"/>
          <w:right w:w="0" w:type="dxa"/>
        </w:tblCellMar>
      </w:tblPr>
      <w:tblGrid>
        <w:gridCol w:w="980"/>
        <w:gridCol w:w="60"/>
        <w:gridCol w:w="5855"/>
      </w:tblGrid>
      <w:tr>
        <w:trPr/>
        <w:tc>
          <w:tcPr>
            <w:tcW w:w="980"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60" w:type="dxa"/>
            <w:tcBorders/>
            <w:vAlign w:val="center"/>
          </w:tcPr>
          <w:p>
            <w:pPr>
              <w:pStyle w:val="TableContents"/>
              <w:bidi w:val="0"/>
              <w:spacing w:before="0" w:after="0"/>
              <w:ind w:left="0" w:right="0" w:hanging="0"/>
              <w:jc w:val="left"/>
              <w:rPr/>
            </w:pPr>
            <w:r>
              <w:rPr/>
              <w:t> </w:t>
            </w:r>
          </w:p>
        </w:tc>
        <w:tc>
          <w:tcPr>
            <w:tcW w:w="5855"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8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99.1</w:t>
            </w:r>
          </w:p>
        </w:tc>
        <w:tc>
          <w:tcPr>
            <w:tcW w:w="60" w:type="dxa"/>
            <w:tcBorders/>
            <w:vAlign w:val="center"/>
          </w:tcPr>
          <w:p>
            <w:pPr>
              <w:pStyle w:val="TableContents"/>
              <w:bidi w:val="0"/>
              <w:spacing w:before="0" w:after="0"/>
              <w:ind w:left="0" w:right="0" w:hanging="0"/>
              <w:jc w:val="left"/>
              <w:rPr/>
            </w:pPr>
            <w:r>
              <w:rPr/>
              <w:t> </w:t>
            </w:r>
          </w:p>
        </w:tc>
        <w:tc>
          <w:tcPr>
            <w:tcW w:w="5855" w:type="dxa"/>
            <w:tcBorders/>
            <w:vAlign w:val="center"/>
          </w:tcPr>
          <w:p>
            <w:pPr>
              <w:pStyle w:val="TableContents"/>
              <w:bidi w:val="0"/>
              <w:spacing w:before="0" w:after="0"/>
              <w:ind w:left="0" w:right="0" w:hanging="0"/>
              <w:jc w:val="left"/>
              <w:rPr/>
            </w:pPr>
            <w:hyperlink w:anchor="ex_1028812.htm">
              <w:r>
                <w:rPr>
                  <w:rStyle w:val="InternetLink"/>
                  <w:rFonts w:ascii="Times New Roman;Times;serif" w:hAnsi="Times New Roman;Times;serif"/>
                  <w:sz w:val="20"/>
                </w:rPr>
                <w:t>Press Release, dated October 22, 2026 (furnished herewith).</w:t>
              </w:r>
            </w:hyperlink>
          </w:p>
        </w:tc>
      </w:tr>
      <w:tr>
        <w:trPr/>
        <w:tc>
          <w:tcPr>
            <w:tcW w:w="980" w:type="dxa"/>
            <w:tcBorders/>
            <w:vAlign w:val="center"/>
          </w:tcPr>
          <w:p>
            <w:pPr>
              <w:pStyle w:val="TableContents"/>
              <w:bidi w:val="0"/>
              <w:spacing w:before="0" w:after="283"/>
              <w:jc w:val="left"/>
              <w:rPr/>
            </w:pPr>
            <w:r>
              <w:rPr/>
              <w:t xml:space="preserve">  </w:t>
            </w:r>
            <w:r>
              <w:rPr/>
              <w:t>104</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9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7670" w:type="dxa"/>
        <w:jc w:val="left"/>
        <w:tblInd w:w="0" w:type="dxa"/>
        <w:tblLayout w:type="fixed"/>
        <w:tblCellMar>
          <w:top w:w="0" w:type="dxa"/>
          <w:left w:w="0" w:type="dxa"/>
          <w:bottom w:w="0" w:type="dxa"/>
          <w:right w:w="0" w:type="dxa"/>
        </w:tblCellMar>
      </w:tblPr>
      <w:tblGrid>
        <w:gridCol w:w="530"/>
        <w:gridCol w:w="1490"/>
        <w:gridCol w:w="380"/>
        <w:gridCol w:w="5270"/>
      </w:tblGrid>
      <w:tr>
        <w:trPr/>
        <w:tc>
          <w:tcPr>
            <w:tcW w:w="530"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56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LATTICE SEMICONDUCTOR CORPORATION</w:t>
            </w:r>
          </w:p>
        </w:tc>
      </w:tr>
      <w:tr>
        <w:trPr/>
        <w:tc>
          <w:tcPr>
            <w:tcW w:w="53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70"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Tracy Feanny</w:t>
            </w:r>
          </w:p>
        </w:tc>
      </w:tr>
      <w:tr>
        <w:trPr/>
        <w:tc>
          <w:tcPr>
            <w:tcW w:w="530"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5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Tracy Feanny</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22, 2026</w:t>
            </w:r>
          </w:p>
        </w:tc>
        <w:tc>
          <w:tcPr>
            <w:tcW w:w="38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xml:space="preserve">3 </w:t>
      </w:r>
    </w:p>
    <w:p>
      <w:pPr>
        <w:pStyle w:val="TextBody"/>
        <w:bidi w:val="0"/>
        <w:jc w:val="left"/>
        <w:rPr/>
      </w:pPr>
      <w:bookmarkStart w:id="2" w:name="ex_1028812.htm"/>
      <w:bookmarkStart w:id="3" w:name="ksex_1028812"/>
      <w:bookmarkEnd w:id="2"/>
      <w:bookmarkEnd w:id="3"/>
      <w:r>
        <w:rPr/>
        <w:t> </w:t>
      </w:r>
      <w:r>
        <w:br w:type="page"/>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3416300" cy="558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16300" cy="558800"/>
                    </a:xfrm>
                    <a:prstGeom prst="rect">
                      <a:avLst/>
                    </a:prstGeom>
                  </pic:spPr>
                </pic:pic>
              </a:graphicData>
            </a:graphic>
          </wp:inline>
        </w:drawing>
      </w:r>
    </w:p>
    <w:p>
      <w:pPr>
        <w:pStyle w:val="TextBody"/>
        <w:bidi w:val="0"/>
        <w:spacing w:before="0" w:after="0"/>
        <w:ind w:left="0" w:right="0" w:hanging="0"/>
        <w:jc w:val="left"/>
        <w:rPr/>
      </w:pPr>
      <w:r>
        <w:rPr/>
        <w:t> </w:t>
      </w:r>
    </w:p>
    <w:tbl>
      <w:tblPr>
        <w:tblW w:w="5590" w:type="dxa"/>
        <w:jc w:val="left"/>
        <w:tblInd w:w="0" w:type="dxa"/>
        <w:tblLayout w:type="fixed"/>
        <w:tblCellMar>
          <w:top w:w="30" w:type="dxa"/>
          <w:left w:w="30" w:type="dxa"/>
          <w:bottom w:w="30" w:type="dxa"/>
          <w:right w:w="30" w:type="dxa"/>
        </w:tblCellMar>
      </w:tblPr>
      <w:tblGrid>
        <w:gridCol w:w="2780"/>
        <w:gridCol w:w="2810"/>
      </w:tblGrid>
      <w:tr>
        <w:trPr/>
        <w:tc>
          <w:tcPr>
            <w:tcW w:w="2780" w:type="dxa"/>
            <w:tcBorders/>
            <w:vAlign w:val="center"/>
          </w:tcPr>
          <w:p>
            <w:pPr>
              <w:pStyle w:val="TableContents"/>
              <w:bidi w:val="0"/>
              <w:spacing w:before="0" w:after="0"/>
              <w:ind w:left="0" w:right="0" w:hanging="0"/>
              <w:jc w:val="left"/>
              <w:rPr/>
            </w:pPr>
            <w:r>
              <w:rPr/>
              <w:t> </w:t>
            </w:r>
          </w:p>
        </w:tc>
        <w:tc>
          <w:tcPr>
            <w:tcW w:w="2810" w:type="dxa"/>
            <w:tcBorders/>
            <w:vAlign w:val="center"/>
          </w:tcPr>
          <w:p>
            <w:pPr>
              <w:pStyle w:val="TableContents"/>
              <w:bidi w:val="0"/>
              <w:spacing w:before="0" w:after="0"/>
              <w:ind w:left="0" w:right="0" w:hanging="0"/>
              <w:jc w:val="left"/>
              <w:rPr/>
            </w:pPr>
            <w:r>
              <w:rPr/>
              <w:t> </w:t>
            </w:r>
          </w:p>
        </w:tc>
      </w:tr>
      <w:tr>
        <w:trPr/>
        <w:tc>
          <w:tcPr>
            <w:tcW w:w="278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MEDIA CONTACT:</w:t>
            </w:r>
          </w:p>
        </w:tc>
        <w:tc>
          <w:tcPr>
            <w:tcW w:w="281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INVESTOR CONTACT:</w:t>
            </w:r>
          </w:p>
        </w:tc>
      </w:tr>
      <w:tr>
        <w:trPr/>
        <w:tc>
          <w:tcPr>
            <w:tcW w:w="278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Sophia Hong</w:t>
            </w:r>
          </w:p>
        </w:tc>
        <w:tc>
          <w:tcPr>
            <w:tcW w:w="281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Rick Muscha</w:t>
            </w:r>
          </w:p>
        </w:tc>
      </w:tr>
      <w:tr>
        <w:trPr/>
        <w:tc>
          <w:tcPr>
            <w:tcW w:w="27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Lattice Semiconductor</w:t>
            </w:r>
          </w:p>
        </w:tc>
        <w:tc>
          <w:tcPr>
            <w:tcW w:w="28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Lattice Semiconductor</w:t>
            </w:r>
          </w:p>
        </w:tc>
      </w:tr>
      <w:tr>
        <w:trPr/>
        <w:tc>
          <w:tcPr>
            <w:tcW w:w="278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503-268-8786</w:t>
            </w:r>
          </w:p>
        </w:tc>
        <w:tc>
          <w:tcPr>
            <w:tcW w:w="281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408-826-6000</w:t>
            </w:r>
          </w:p>
        </w:tc>
      </w:tr>
      <w:tr>
        <w:trPr/>
        <w:tc>
          <w:tcPr>
            <w:tcW w:w="278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Sophia.Hong@latticesemi.com</w:t>
            </w:r>
          </w:p>
        </w:tc>
        <w:tc>
          <w:tcPr>
            <w:tcW w:w="281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Rick.Muscha@latticesemi.com</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160" w:after="160"/>
        <w:ind w:left="0" w:right="0" w:hanging="0"/>
        <w:jc w:val="center"/>
        <w:rPr>
          <w:rFonts w:ascii="Arial;Helvetica;sans-serif" w:hAnsi="Arial;Helvetica;sans-serif"/>
          <w:b/>
          <w:color w:val="000000"/>
          <w:sz w:val="28"/>
        </w:rPr>
      </w:pPr>
      <w:r>
        <w:rPr>
          <w:rFonts w:ascii="Arial;Helvetica;sans-serif" w:hAnsi="Arial;Helvetica;sans-serif"/>
          <w:b/>
          <w:color w:val="000000"/>
          <w:sz w:val="28"/>
        </w:rPr>
        <w:t>Lattice Semiconductor Appoints</w:t>
      </w:r>
    </w:p>
    <w:p>
      <w:pPr>
        <w:pStyle w:val="TextBody"/>
        <w:bidi w:val="0"/>
        <w:spacing w:before="160" w:after="160"/>
        <w:ind w:left="0" w:right="0" w:hanging="0"/>
        <w:jc w:val="center"/>
        <w:rPr>
          <w:rFonts w:ascii="Arial;Helvetica;sans-serif" w:hAnsi="Arial;Helvetica;sans-serif"/>
          <w:color w:val="000000"/>
          <w:sz w:val="28"/>
        </w:rPr>
      </w:pPr>
      <w:r>
        <w:rPr>
          <w:rFonts w:ascii="Arial;Helvetica;sans-serif" w:hAnsi="Arial;Helvetica;sans-serif"/>
          <w:b/>
          <w:color w:val="000000"/>
          <w:sz w:val="28"/>
        </w:rPr>
        <w:t>John McCool and Raejeanne Skillern</w:t>
      </w:r>
      <w:r>
        <w:rPr>
          <w:rFonts w:ascii="Arial;Helvetica;sans-serif" w:hAnsi="Arial;Helvetica;sans-serif"/>
          <w:color w:val="000000"/>
          <w:sz w:val="28"/>
        </w:rPr>
        <w:t xml:space="preserve"> </w:t>
      </w:r>
      <w:r>
        <w:rPr>
          <w:rFonts w:ascii="Arial;Helvetica;sans-serif" w:hAnsi="Arial;Helvetica;sans-serif"/>
          <w:b/>
          <w:color w:val="000000"/>
          <w:sz w:val="28"/>
        </w:rPr>
        <w:t>to Board of Directors</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b/>
          <w:sz w:val="20"/>
        </w:rPr>
        <w:t xml:space="preserve">HILLSBORO, Ore. – Oct. 22, 2026 – </w:t>
      </w:r>
      <w:r>
        <w:rPr>
          <w:rFonts w:ascii="Arial;Helvetica;sans-serif" w:hAnsi="Arial;Helvetica;sans-serif"/>
          <w:sz w:val="20"/>
        </w:rPr>
        <w:t>Lattice Semiconductor (NASDAQ: LSCC), the low power programmable and platform firmware leader, today announced the appointment of John McCool and Raejeanne Skillern to the Company’s Board of Directors effective Oct. 21, 2026.</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Both bring strong experience driving growth at top-tier public companies. Mr. McCool has more than four decades of experience in semiconductors, networking, and systems engineering, and extensive operating experience leading hardware engineering, manufacturing, and supply chain organizations. Ms. Skillern, who previously served on the Lattice Board from 2022 to 2024, brings more than 30 years of experience in cloud, data center infrastructure, and artificial intelligence.</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Mr. McCool is currently Senior Vice President and Special Advisor to the Chief Executive Officer at Arista Networks, Inc. Prior to that role, he served as Arista’s Senior Vice President and Chief Platform Officer, where he was responsible for hardware engineering, manufacturing operations, and supply chain. Before joining Arista, Mr. McCool served as Senior Vice President and General Manager of DSSD at Dell EMC and as President and Chief Executive Officer of Firetide. He previously held senior vice president and general manager roles at Cisco Systems, including leading its data center switching business, and earlier held engineering leadership roles at SynOptics, NeXT Computer, and AMD.</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Ms. Skillern is the former Vice President and Chief Marketing Officer of Amazon Web Services, where she led the worldwide marketing organization. Previously, she was President of the Communications, Enterprise &amp; Cloud division at Flex Ltd. Earlier in her career, she spent 25 years at Intel Corporation, where she held a series of marketing and general management roles, including Vice President and General Manager of the Cloud Service Provider Group. Ms. Skillern currently serves on the boards of directors of Jabil Inc. and Dycom Industries, Inc.</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Jeff Richardson, Lattice’s Chairman of the Board, stated, “We are very pleased to have John and Raejeanne join our Board of Directors, particularly given their deep experience in networking, cloud and data center infrastructure and in leading technology businesses at scale. We are especially glad to welcome Raejeanne back. We look forward to both of their contributions as Lattice continues to execute on its long-term growth strategy.”</w:t>
      </w:r>
    </w:p>
    <w:p>
      <w:pPr>
        <w:pStyle w:val="TextBody"/>
        <w:bidi w:val="0"/>
        <w:spacing w:lineRule="auto" w:line="360"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lineRule="auto" w:line="360" w:before="0" w:after="120"/>
        <w:ind w:left="0" w:right="0" w:hanging="0"/>
        <w:jc w:val="left"/>
        <w:rPr>
          <w:rFonts w:ascii="Arial;Helvetica;sans-serif" w:hAnsi="Arial;Helvetica;sans-serif"/>
          <w:b/>
          <w:sz w:val="20"/>
        </w:rPr>
      </w:pPr>
      <w:r>
        <w:rPr>
          <w:rFonts w:ascii="Arial;Helvetica;sans-serif" w:hAnsi="Arial;Helvetica;sans-serif"/>
          <w:b/>
          <w:sz w:val="20"/>
        </w:rPr>
        <w:t>Forward-Looking Statements Notice:</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The foregoing paragraphs contain forward-looking statements that involve estimates, assumptions, risks and uncertainties. Any statements about our expectations, beliefs, plans, objectives, assumptions or future events or performance are not historical facts and may be forward-looking. Such forward-looking statements include, but are not limited to, statements relating to the Company’s continued execution on its long-term growth strategy. Other forward-looking statements may be indicated by words such as “will,” “could,” “should,” “would,” “may,” “expect,” “plan,” “project,” “anticipate,” “intend,” “forecast,” “future,” “believe,” “estimate,” “predict,” “propose,” “potential,” “continue” or the negative of these terms or other comparable terminology.</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sz w:val="20"/>
        </w:rPr>
      </w:pPr>
      <w:r>
        <w:rPr>
          <w:rFonts w:ascii="Arial;Helvetica;sans-serif" w:hAnsi="Arial;Helvetica;sans-serif"/>
          <w:sz w:val="20"/>
        </w:rPr>
        <w:t>Actual results may differ materially from our expectations and are subject to risks and uncertainties that relate more broadly to our overall business, including those risks more fully described in Lattice’s filings with the SEC including its Annual Report on Form 10-K for the fiscal year ended January 3, 2026, and Lattice’s quarterly reports filed on Form 10-Q. Lattice believes these and other risks and uncertainties could cause actual results to differ materially from the forward-looking statements. You should not unduly rely on forward-looking statements because actual results could differ materially from those expressed in any forward-looking statements. In addition, any forward-looking statement applies only as of the date on which it is made. The Company does not intend to update or revise any forward-looking statements, whether as a result of events or circumstances after the date hereof or to reflect the occurrence of unanticipated events.</w:t>
      </w:r>
    </w:p>
    <w:p>
      <w:pPr>
        <w:pStyle w:val="TextBody"/>
        <w:bidi w:val="0"/>
        <w:spacing w:lineRule="auto" w:line="360" w:before="0" w:after="0"/>
        <w:ind w:left="0" w:right="0" w:hanging="0"/>
        <w:jc w:val="left"/>
        <w:rPr/>
      </w:pPr>
      <w:r>
        <w:rPr/>
        <w:t> </w:t>
      </w:r>
    </w:p>
    <w:p>
      <w:pPr>
        <w:pStyle w:val="TextBody"/>
        <w:bidi w:val="0"/>
        <w:spacing w:lineRule="auto" w:line="360" w:before="0" w:after="120"/>
        <w:ind w:left="0" w:right="0" w:hanging="0"/>
        <w:jc w:val="left"/>
        <w:rPr>
          <w:rFonts w:ascii="Arial;Helvetica;sans-serif" w:hAnsi="Arial;Helvetica;sans-serif"/>
          <w:b/>
          <w:sz w:val="20"/>
        </w:rPr>
      </w:pPr>
      <w:r>
        <w:rPr>
          <w:rFonts w:ascii="Arial;Helvetica;sans-serif" w:hAnsi="Arial;Helvetica;sans-serif"/>
          <w:b/>
          <w:sz w:val="20"/>
        </w:rPr>
        <w:t>About Lattice Semiconductor</w:t>
      </w:r>
    </w:p>
    <w:p>
      <w:pPr>
        <w:pStyle w:val="TextBody"/>
        <w:bidi w:val="0"/>
        <w:spacing w:lineRule="auto" w:line="360" w:before="0" w:after="0"/>
        <w:ind w:left="0" w:right="0" w:hanging="0"/>
        <w:jc w:val="left"/>
        <w:rPr>
          <w:rFonts w:ascii="Arial;Helvetica;sans-serif" w:hAnsi="Arial;Helvetica;sans-serif"/>
          <w:color w:val="000000"/>
          <w:sz w:val="20"/>
        </w:rPr>
      </w:pPr>
      <w:r>
        <w:rPr>
          <w:rFonts w:ascii="Arial;Helvetica;sans-serif" w:hAnsi="Arial;Helvetica;sans-serif"/>
          <w:color w:val="000000"/>
          <w:sz w:val="20"/>
        </w:rPr>
        <w:t>Lattice Semiconductor (NASDAQ: LSCC) is the low power programmable and platform firmware leader. We solve customer challenges from the Edge to the Cloud, in the growing Compute, Communications, Industrial, and Embedded markets. With the addition of AMI's industry-leading, silicon-neutral platform firmware and infrastructure manageability solutions, Lattice now delivers the industry's most complete secure management and control platform for cloud and AI data center infrastructure. Our technology, long-standing relationships, and commitment to world-class support let our customers quickly and easily unleash their innovation to create a smart, secure, and connected world. For more information about Lattice, please visit </w:t>
      </w:r>
      <w:r>
        <w:rPr>
          <w:rFonts w:ascii="Arial;Helvetica;sans-serif" w:hAnsi="Arial;Helvetica;sans-serif"/>
          <w:color w:val="000000"/>
          <w:sz w:val="20"/>
          <w:u w:val="single"/>
        </w:rPr>
        <w:t>www.latticesemi.com</w:t>
      </w:r>
      <w:r>
        <w:rPr>
          <w:rFonts w:ascii="Arial;Helvetica;sans-serif" w:hAnsi="Arial;Helvetica;sans-serif"/>
          <w:color w:val="000000"/>
          <w:sz w:val="20"/>
        </w:rPr>
        <w:t>. You can also follow us via </w:t>
      </w:r>
      <w:r>
        <w:rPr>
          <w:rFonts w:ascii="Arial;Helvetica;sans-serif" w:hAnsi="Arial;Helvetica;sans-serif"/>
          <w:color w:val="000000"/>
          <w:sz w:val="20"/>
          <w:u w:val="single"/>
        </w:rPr>
        <w:t>LinkedIn</w:t>
      </w:r>
      <w:r>
        <w:rPr>
          <w:rFonts w:ascii="Arial;Helvetica;sans-serif" w:hAnsi="Arial;Helvetica;sans-serif"/>
          <w:color w:val="000000"/>
          <w:sz w:val="20"/>
        </w:rPr>
        <w:t>, </w:t>
      </w:r>
      <w:r>
        <w:rPr>
          <w:rFonts w:ascii="Arial;Helvetica;sans-serif" w:hAnsi="Arial;Helvetica;sans-serif"/>
          <w:color w:val="000000"/>
          <w:sz w:val="20"/>
          <w:u w:val="single"/>
        </w:rPr>
        <w:t>X</w:t>
      </w:r>
      <w:r>
        <w:rPr>
          <w:rFonts w:ascii="Arial;Helvetica;sans-serif" w:hAnsi="Arial;Helvetica;sans-serif"/>
          <w:color w:val="000000"/>
          <w:sz w:val="20"/>
        </w:rPr>
        <w:t>, </w:t>
      </w:r>
      <w:r>
        <w:rPr>
          <w:rFonts w:ascii="Arial;Helvetica;sans-serif" w:hAnsi="Arial;Helvetica;sans-serif"/>
          <w:color w:val="000000"/>
          <w:sz w:val="20"/>
          <w:u w:val="single"/>
        </w:rPr>
        <w:t>YouTube</w:t>
      </w:r>
      <w:r>
        <w:rPr>
          <w:rFonts w:ascii="Arial;Helvetica;sans-serif" w:hAnsi="Arial;Helvetica;sans-serif"/>
          <w:color w:val="000000"/>
          <w:sz w:val="20"/>
        </w:rPr>
        <w:t xml:space="preserve">, </w:t>
      </w:r>
      <w:r>
        <w:rPr>
          <w:rFonts w:ascii="Arial;Helvetica;sans-serif" w:hAnsi="Arial;Helvetica;sans-serif"/>
          <w:color w:val="000000"/>
          <w:sz w:val="20"/>
          <w:u w:val="single"/>
        </w:rPr>
        <w:t>Facebook</w:t>
      </w:r>
      <w:r>
        <w:rPr>
          <w:rFonts w:ascii="Arial;Helvetica;sans-serif" w:hAnsi="Arial;Helvetica;sans-serif"/>
          <w:color w:val="000000"/>
          <w:sz w:val="20"/>
        </w:rPr>
        <w:t>, </w:t>
      </w:r>
      <w:r>
        <w:rPr>
          <w:rFonts w:ascii="Arial;Helvetica;sans-serif" w:hAnsi="Arial;Helvetica;sans-serif"/>
          <w:color w:val="000000"/>
          <w:sz w:val="20"/>
          <w:u w:val="single"/>
        </w:rPr>
        <w:t>WeChat</w:t>
      </w:r>
      <w:r>
        <w:rPr>
          <w:rFonts w:ascii="Arial;Helvetica;sans-serif" w:hAnsi="Arial;Helvetica;sans-serif"/>
          <w:color w:val="000000"/>
          <w:sz w:val="20"/>
        </w:rPr>
        <w:t>, and </w:t>
      </w:r>
      <w:r>
        <w:rPr>
          <w:rFonts w:ascii="Arial;Helvetica;sans-serif" w:hAnsi="Arial;Helvetica;sans-serif"/>
          <w:color w:val="000000"/>
          <w:sz w:val="20"/>
          <w:u w:val="single"/>
        </w:rPr>
        <w:t>Weibo</w:t>
      </w:r>
      <w:r>
        <w:rPr>
          <w:rFonts w:ascii="Arial;Helvetica;sans-serif" w:hAnsi="Arial;Helvetica;sans-serif"/>
          <w:color w:val="000000"/>
          <w:sz w:val="20"/>
        </w:rPr>
        <w:t>.</w:t>
      </w:r>
    </w:p>
    <w:p>
      <w:pPr>
        <w:pStyle w:val="TextBody"/>
        <w:bidi w:val="0"/>
        <w:spacing w:lineRule="auto" w:line="360" w:before="0" w:after="0"/>
        <w:ind w:left="0" w:right="0" w:hanging="0"/>
        <w:jc w:val="center"/>
        <w:rPr/>
      </w:pPr>
      <w:r>
        <w:rPr/>
        <w:t> </w:t>
      </w:r>
    </w:p>
    <w:p>
      <w:pPr>
        <w:pStyle w:val="TextBody"/>
        <w:bidi w:val="0"/>
        <w:spacing w:lineRule="auto" w:line="360" w:before="0" w:after="0"/>
        <w:ind w:left="0" w:right="0" w:hanging="0"/>
        <w:jc w:val="center"/>
        <w:rPr>
          <w:rFonts w:ascii="Arial;Helvetica;sans-serif" w:hAnsi="Arial;Helvetica;sans-serif"/>
          <w:b/>
          <w:sz w:val="20"/>
        </w:rPr>
      </w:pPr>
      <w:r>
        <w:rPr>
          <w:rFonts w:ascii="Arial;Helvetica;sans-serif" w:hAnsi="Arial;Helvetica;sans-serif"/>
          <w:b/>
          <w:sz w:val="20"/>
        </w:rPr>
        <w:t># #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Lattice Semiconductor Corporation, Lattice Semiconductor (&amp; design), AMI, and specific product designations are either registered trademarks or trademarks of Lattice Semiconductor Corporation or its subsidiaries in the United States and/or other countries.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1650</Words>
  <Characters>9470</Characters>
  <CharactersWithSpaces>11121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