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Flores Lorenzo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73"/>
        <w:gridCol w:w="373"/>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66.8525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116,831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137.44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under the Issuer's 2012 Employee Stock Purchase Plan ("ESPP") in a transaction that was exempt under both Rule 16b-3(d) and Rule 16b-3(c). The acquisition reflects the officer's participation in the ESPP through payroll deductions during the applicable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Lorenzo Flores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210"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3594</Characters>
  <CharactersWithSpaces>4194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