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96520</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64135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Lattice Semiconductor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6"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52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000-18032</w:t>
            </w:r>
          </w:p>
        </w:tc>
        <w:tc>
          <w:tcPr>
            <w:tcW w:w="1360" w:type="dxa"/>
            <w:vAlign w:val="bottom"/>
          </w:tcPr>
          <w:p>
            <w:pPr>
              <w:spacing w:after="0"/>
              <w:rPr>
                <w:sz w:val="17"/>
                <w:szCs w:val="17"/>
                <w:color w:val="auto"/>
              </w:rPr>
            </w:pPr>
          </w:p>
        </w:tc>
        <w:tc>
          <w:tcPr>
            <w:tcW w:w="32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93-0835214</w:t>
            </w: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3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5555 NE Moore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Hillsboro, Oregon 97124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(503) 268-8000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326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44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LSCC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2, 2026, the Company issued a press release announcing the Company's financial results for the quarter ended October 3, 2026. A copy of the press release is furnished (not filed) as Exhibit 99.1 to this Current Report on Form 8-K. The information in Exhibit 99.1 shall not be deemed to be “filed” for the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furnished herewith:</w:t>
      </w:r>
    </w:p>
    <w:p>
      <w:pPr>
        <w:spacing w:after="0" w:line="200" w:lineRule="exact"/>
        <w:rPr>
          <w:sz w:val="20"/>
          <w:szCs w:val="20"/>
          <w:color w:val="auto"/>
        </w:rPr>
      </w:pPr>
    </w:p>
    <w:p>
      <w:pPr>
        <w:spacing w:after="0" w:line="23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54" w:lineRule="exact"/>
        <w:rPr>
          <w:sz w:val="20"/>
          <w:szCs w:val="20"/>
          <w:color w:val="auto"/>
        </w:rPr>
      </w:pPr>
    </w:p>
    <w:p>
      <w:pPr>
        <w:ind w:left="580"/>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2, 2026 (furnished herewith).</w:t>
      </w:r>
    </w:p>
    <w:p>
      <w:pPr>
        <w:spacing w:after="0" w:line="50"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680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tc>
      </w:tr>
      <w:tr>
        <w:trPr>
          <w:trHeight w:val="560"/>
        </w:trPr>
        <w:tc>
          <w:tcPr>
            <w:tcW w:w="3840" w:type="dxa"/>
            <w:vAlign w:val="bottom"/>
          </w:tcPr>
          <w:p>
            <w:pPr>
              <w:spacing w:after="0"/>
              <w:rPr>
                <w:sz w:val="24"/>
                <w:szCs w:val="24"/>
                <w:color w:val="auto"/>
              </w:rPr>
            </w:pPr>
          </w:p>
        </w:tc>
        <w:tc>
          <w:tcPr>
            <w:tcW w:w="68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Lorenzo A. Flores</w:t>
            </w:r>
          </w:p>
        </w:tc>
      </w:tr>
      <w:tr>
        <w:trPr>
          <w:trHeight w:val="225"/>
        </w:trPr>
        <w:tc>
          <w:tcPr>
            <w:tcW w:w="3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Lorenzo A. Flores</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Date:November 2, 2026</w:t>
            </w:r>
          </w:p>
        </w:tc>
        <w:tc>
          <w:tcPr>
            <w:tcW w:w="21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360"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30568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56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360" w:right="3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INVESTORS:</w:t>
      </w:r>
    </w:p>
    <w:p>
      <w:pPr>
        <w:spacing w:after="0" w:line="78"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Sophia Hong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Rick Muscha</w:t>
      </w:r>
    </w:p>
    <w:p>
      <w:pPr>
        <w:spacing w:after="0" w:line="75"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Lattice Semiconductor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Lattice Semiconductor Corporation</w:t>
      </w:r>
    </w:p>
    <w:p>
      <w:pPr>
        <w:spacing w:after="0" w:line="75"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503-268-8786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408-826-6000</w:t>
      </w:r>
    </w:p>
    <w:p>
      <w:pPr>
        <w:spacing w:after="0" w:line="75"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Sophia.Hong@latticesemi.com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Rick.Muscha@latticesemi.com</w:t>
      </w:r>
    </w:p>
    <w:p>
      <w:pPr>
        <w:spacing w:after="0" w:line="200" w:lineRule="exact"/>
        <w:rPr>
          <w:sz w:val="20"/>
          <w:szCs w:val="20"/>
          <w:color w:val="auto"/>
        </w:rPr>
      </w:pPr>
    </w:p>
    <w:p>
      <w:pPr>
        <w:sectPr>
          <w:pgSz w:w="11900" w:h="16838" w:orient="portrait"/>
          <w:cols w:equalWidth="0" w:num="2">
            <w:col w:w="4360" w:space="720"/>
            <w:col w:w="6160"/>
          </w:cols>
          <w:pgMar w:left="320" w:top="360" w:right="339" w:bottom="1440" w:gutter="0" w:footer="0" w:header="0"/>
          <w:type w:val="continuous"/>
        </w:sectPr>
      </w:pPr>
    </w:p>
    <w:p>
      <w:pPr>
        <w:spacing w:after="0" w:line="1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b w:val="1"/>
          <w:bCs w:val="1"/>
          <w:color w:val="auto"/>
        </w:rPr>
        <w:t>LATTICE SEMICONDUCTOR REPORTS RECORD 3Q26 REVENUE, UP 118% YOY</w:t>
      </w:r>
    </w:p>
    <w:p>
      <w:pPr>
        <w:spacing w:after="0" w:line="1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b w:val="1"/>
          <w:bCs w:val="1"/>
          <w:i w:val="1"/>
          <w:iCs w:val="1"/>
          <w:color w:val="auto"/>
        </w:rPr>
        <w:t>Record FPGA Revenue, Up Approximately 90% YOY, Led by Compute and Communications Demand</w:t>
      </w:r>
    </w:p>
    <w:p>
      <w:pPr>
        <w:spacing w:after="0" w:line="125" w:lineRule="exact"/>
        <w:rPr>
          <w:sz w:val="20"/>
          <w:szCs w:val="20"/>
          <w:color w:val="auto"/>
        </w:rPr>
      </w:pPr>
    </w:p>
    <w:p>
      <w:pPr>
        <w:jc w:val="center"/>
        <w:ind w:left="500" w:right="40"/>
        <w:spacing w:after="0" w:line="392" w:lineRule="auto"/>
        <w:rPr>
          <w:sz w:val="20"/>
          <w:szCs w:val="20"/>
          <w:color w:val="auto"/>
        </w:rPr>
      </w:pPr>
      <w:r>
        <w:rPr>
          <w:rFonts w:ascii="Times New Roman" w:cs="Times New Roman" w:eastAsia="Times New Roman" w:hAnsi="Times New Roman"/>
          <w:sz w:val="22"/>
          <w:szCs w:val="22"/>
          <w:b w:val="1"/>
          <w:bCs w:val="1"/>
          <w:i w:val="1"/>
          <w:iCs w:val="1"/>
          <w:color w:val="auto"/>
        </w:rPr>
        <w:t>Expects Approximately 130% YOY Revenue Growth in 4Q26, with Industrial and Embedded Revenue Growth Accelerating to 70% YOY</w:t>
      </w:r>
    </w:p>
    <w:p>
      <w:pPr>
        <w:spacing w:after="0" w:line="170" w:lineRule="exact"/>
        <w:rPr>
          <w:sz w:val="20"/>
          <w:szCs w:val="20"/>
          <w:color w:val="auto"/>
        </w:rPr>
      </w:pPr>
    </w:p>
    <w:p>
      <w:pPr>
        <w:ind w:right="2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HILLSBORO, Ore. – Nov. 2, 2026 – </w:t>
      </w:r>
      <w:r>
        <w:rPr>
          <w:rFonts w:ascii="Times New Roman" w:cs="Times New Roman" w:eastAsia="Times New Roman" w:hAnsi="Times New Roman"/>
          <w:sz w:val="18"/>
          <w:szCs w:val="18"/>
          <w:color w:val="auto"/>
        </w:rPr>
        <w:t>Lattice Semiconductor Corporation (Nasdaq: LSCC), the low power programmable and platform firmware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today for the fiscal third quarter ended October 3, 2026.</w:t>
      </w:r>
    </w:p>
    <w:p>
      <w:pPr>
        <w:spacing w:after="0" w:line="212" w:lineRule="exact"/>
        <w:rPr>
          <w:sz w:val="20"/>
          <w:szCs w:val="20"/>
          <w:color w:val="auto"/>
        </w:rPr>
      </w:pPr>
    </w:p>
    <w:p>
      <w:pPr>
        <w:ind w:right="480"/>
        <w:spacing w:after="0" w:line="344" w:lineRule="auto"/>
        <w:rPr>
          <w:sz w:val="20"/>
          <w:szCs w:val="20"/>
          <w:color w:val="auto"/>
        </w:rPr>
      </w:pPr>
      <w:r>
        <w:rPr>
          <w:rFonts w:ascii="Times New Roman" w:cs="Times New Roman" w:eastAsia="Times New Roman" w:hAnsi="Times New Roman"/>
          <w:sz w:val="18"/>
          <w:szCs w:val="18"/>
          <w:color w:val="auto"/>
        </w:rPr>
        <w:t>Lattice completed the acquisition of AMI on July 27, 2026 (the “acquisition date”). Lattice’s results for the third quarter of fiscal 2026 include AMI’s results from the acquisition date, while the prior periods presented do not.</w:t>
      </w:r>
    </w:p>
    <w:p>
      <w:pPr>
        <w:spacing w:after="0" w:line="217" w:lineRule="exact"/>
        <w:rPr>
          <w:sz w:val="20"/>
          <w:szCs w:val="20"/>
          <w:color w:val="auto"/>
        </w:rPr>
      </w:pPr>
    </w:p>
    <w:p>
      <w:pPr>
        <w:ind w:right="40"/>
        <w:spacing w:after="0" w:line="320" w:lineRule="auto"/>
        <w:rPr>
          <w:sz w:val="20"/>
          <w:szCs w:val="20"/>
          <w:color w:val="auto"/>
        </w:rPr>
      </w:pPr>
      <w:r>
        <w:rPr>
          <w:rFonts w:ascii="Times New Roman" w:cs="Times New Roman" w:eastAsia="Times New Roman" w:hAnsi="Times New Roman"/>
          <w:sz w:val="18"/>
          <w:szCs w:val="18"/>
          <w:color w:val="auto"/>
        </w:rPr>
        <w:t>Revenue for the third quarter of 2026 was $291.0 million, with GAAP gross margin of 67.4%, and GAAP net income per diluted share of $0.08. On a non-GAAP basis, gross margin was 70.9%, with net income per diluted share of $0.72. GAAP net income and GAAP net income margin for the third quarter of 2026 were $11.2 million and 3.9%, respectively, with adjusted EBITDA of $131.0 million, which is a 45.0% adjusted EBITDA margin for the third quarter of 2026. GAAP net cash flow from operating activities and operating cash flow margin for the third quarter of 2026 were $95.0 million and 32.7%, respectively, which corresponds to non-GAAP free cash flow and free cash flow margin of $77.6 million and 26.7%, respectively.</w:t>
      </w:r>
    </w:p>
    <w:p>
      <w:pPr>
        <w:spacing w:after="0" w:line="186"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Ford Tamer, Chief Executive Officer, said, "We delivered record third quarter revenue of $291 million and non-GAAP EPS of $0.72, up 118% and approximately 160% year-over-year, respectively. FPGA revenue grew approximately 90%, fueled by accelerating data center AI demand and continued momentum across Industrial &amp; Embedded applications. Strong bookings, backlog and design wins support our fourth-quarter revenue outlook of approximately $335 million and reinforce our confidence in growth into 2027 and beyond. The addition of AMI meaningfully expands our opportunity in security, control and management solutions. Early commercial momentum across security retrofit, rack boot, plug and play, and power and</w:t>
      </w:r>
    </w:p>
    <w:p>
      <w:pPr>
        <w:ind w:right="860"/>
        <w:spacing w:after="0" w:line="344" w:lineRule="auto"/>
        <w:rPr>
          <w:sz w:val="20"/>
          <w:szCs w:val="20"/>
          <w:color w:val="auto"/>
        </w:rPr>
      </w:pPr>
      <w:r>
        <w:rPr>
          <w:rFonts w:ascii="Times New Roman" w:cs="Times New Roman" w:eastAsia="Times New Roman" w:hAnsi="Times New Roman"/>
          <w:sz w:val="18"/>
          <w:szCs w:val="18"/>
          <w:color w:val="auto"/>
        </w:rPr>
        <w:t>cooling demonstrates the value of our combined portfolio, positioning Lattice to capture greater content per platform, deepen strategic customer relationships and drive sustainable long-term growth."</w:t>
      </w:r>
    </w:p>
    <w:p>
      <w:pPr>
        <w:spacing w:after="0" w:line="163" w:lineRule="exact"/>
        <w:rPr>
          <w:sz w:val="20"/>
          <w:szCs w:val="20"/>
          <w:color w:val="auto"/>
        </w:rPr>
      </w:pPr>
    </w:p>
    <w:p>
      <w:pPr>
        <w:ind w:right="60"/>
        <w:spacing w:after="0" w:line="323" w:lineRule="auto"/>
        <w:rPr>
          <w:sz w:val="20"/>
          <w:szCs w:val="20"/>
          <w:color w:val="auto"/>
        </w:rPr>
      </w:pPr>
      <w:r>
        <w:rPr>
          <w:rFonts w:ascii="Times New Roman" w:cs="Times New Roman" w:eastAsia="Times New Roman" w:hAnsi="Times New Roman"/>
          <w:sz w:val="18"/>
          <w:szCs w:val="18"/>
          <w:color w:val="auto"/>
        </w:rPr>
        <w:t>Lorenzo Flores, Chief Financial Officer, said, "Lattice’s operating leverage was evident in the third quarter as we translated accelerating demand into faster year-over-year earnings growth. We continue to execute against our growth strategy by investing to strengthen our leadership in small and mid-range FPGAs, expanding our combined Lattice and AMI solutions portfolio, and advancing our companion chip opportunity. Our focus remains on driving profitable growth, expanding free cash flow, reducing debt, and delivering long-term shareholder value."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Selected Third Quarter 2026 Financial Results and Comparisons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GAAP Financial Results (unaudited)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Q/Q</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Y/Y</w:t>
            </w: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291,035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201,079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133,349</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44.7%</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R&amp;D Expense %</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(960) bps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 %</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172,152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118,979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92,061</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44.7%</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23,968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22,353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11,206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19,359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2,794</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(42.1)%</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301.1%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$(0.06)</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$ 0.06</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$(0.06)</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$ 0.06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Flow Margin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 bps</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Non-GAAP* Financial Results (unaudited)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Q3 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Q/Q</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Y/Y</w:t>
            </w: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291,035</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201,079</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133,349</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44.7%</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R&amp;D Expense %</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(520) bps</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 %</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86,656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67,110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53,900</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29.1%</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119,576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77,102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38,733</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55.1%</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103,664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74,410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38,157</w:t>
            </w:r>
          </w:p>
        </w:tc>
        <w:tc>
          <w:tcPr>
            <w:tcW w:w="13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39.3%</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0.28</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$ 0.20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$ 0.46</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0.28</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$ 0.19</w:t>
            </w:r>
          </w:p>
        </w:tc>
        <w:tc>
          <w:tcPr>
            <w:tcW w:w="13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$ 0.44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940 bps</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(1370) bps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 bps</w:t>
            </w:r>
          </w:p>
        </w:tc>
      </w:tr>
    </w:tbl>
    <w:p>
      <w:pPr>
        <w:ind w:right="360" w:firstLine="8"/>
        <w:spacing w:after="0" w:line="269" w:lineRule="auto"/>
        <w:tabs>
          <w:tab w:leader="none" w:pos="121" w:val="left"/>
        </w:tabs>
        <w:numPr>
          <w:ilvl w:val="0"/>
          <w:numId w:val="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GAAP represents U.S. Generally Accepted Accounting Principles. Non-GAAP represents GAAP excluding the impact of certain activities, which the Company's management excludes in analyzing the Company's operating results and in understanding trends in the Company's earnings. Additional information relating to these measures is included below in “Non-GAAP Financial Measures.” For a reconciliation of GAAP to non-GAAP results, see accompanying tables "Reconciliation of U.S. GAAP to Non-GAAP Financial Measures."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p>
    <w:p>
      <w:pPr>
        <w:spacing w:after="0" w:line="117" w:lineRule="exact"/>
        <w:rPr>
          <w:sz w:val="20"/>
          <w:szCs w:val="20"/>
          <w:color w:val="auto"/>
        </w:rPr>
      </w:pPr>
    </w:p>
    <w:p>
      <w:pPr>
        <w:ind w:left="460" w:right="20" w:hanging="223"/>
        <w:spacing w:after="0" w:line="286" w:lineRule="auto"/>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Achieved Record New Product Revenue Growth: </w:t>
      </w:r>
      <w:r>
        <w:rPr>
          <w:rFonts w:ascii="Times New Roman" w:cs="Times New Roman" w:eastAsia="Times New Roman" w:hAnsi="Times New Roman"/>
          <w:sz w:val="18"/>
          <w:szCs w:val="18"/>
          <w:color w:val="auto"/>
        </w:rPr>
        <w:t>Revenue from new products grew more than 70% year over year and is tracking to reach 25%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FPGA revenue in 2026, led by AI-related server demand and Industrial and Embedded accelerated recovery.</w:t>
      </w:r>
    </w:p>
    <w:p>
      <w:pPr>
        <w:spacing w:after="0" w:line="6" w:lineRule="exact"/>
        <w:rPr>
          <w:rFonts w:ascii="Times New Roman" w:cs="Times New Roman" w:eastAsia="Times New Roman" w:hAnsi="Times New Roman"/>
          <w:sz w:val="18"/>
          <w:szCs w:val="18"/>
          <w:b w:val="1"/>
          <w:bCs w:val="1"/>
          <w:color w:val="auto"/>
        </w:rPr>
      </w:pPr>
    </w:p>
    <w:p>
      <w:pPr>
        <w:ind w:left="460" w:right="80" w:hanging="223"/>
        <w:spacing w:after="0" w:line="268" w:lineRule="auto"/>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Hosted Two Technical Summits in Taipei and Shenzhen with Lattice and AMI: </w:t>
      </w:r>
      <w:r>
        <w:rPr>
          <w:rFonts w:ascii="Times New Roman" w:cs="Times New Roman" w:eastAsia="Times New Roman" w:hAnsi="Times New Roman"/>
          <w:sz w:val="18"/>
          <w:szCs w:val="18"/>
          <w:color w:val="auto"/>
        </w:rPr>
        <w:t>Over 700 customers and partners attended the two events,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presentations from Advantech, Inovance, Intel, Mitsubishi Electric, NVIDIA, NXP Semiconductors, Panasonic, Qualcomm and Sony. Demonstrated over 20 solutions, showing the power of Lattice companion chip and AMI companion firmware ecosystem.</w:t>
      </w:r>
    </w:p>
    <w:p>
      <w:pPr>
        <w:spacing w:after="0" w:line="22" w:lineRule="exact"/>
        <w:rPr>
          <w:rFonts w:ascii="Times New Roman" w:cs="Times New Roman" w:eastAsia="Times New Roman" w:hAnsi="Times New Roman"/>
          <w:sz w:val="18"/>
          <w:szCs w:val="18"/>
          <w:b w:val="1"/>
          <w:bCs w:val="1"/>
          <w:color w:val="auto"/>
        </w:rPr>
      </w:pPr>
    </w:p>
    <w:p>
      <w:pPr>
        <w:ind w:left="460" w:right="220" w:hanging="223"/>
        <w:spacing w:after="0" w:line="268" w:lineRule="auto"/>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Advanced Secure Control and Management at OCP Global Summit with Other Industry Leaders: </w:t>
      </w:r>
      <w:r>
        <w:rPr>
          <w:rFonts w:ascii="Times New Roman" w:cs="Times New Roman" w:eastAsia="Times New Roman" w:hAnsi="Times New Roman"/>
          <w:sz w:val="18"/>
          <w:szCs w:val="18"/>
          <w:color w:val="auto"/>
        </w:rPr>
        <w:t>Announced the Secure Control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Plane (SCMP), with AMD, Arm, ASPEED, Intel, Jabil, Microsoft, and NXP Semiconductor. Brought Lattice and AMI together with keynote, technical presentation and demonstrations.</w:t>
      </w:r>
    </w:p>
    <w:p>
      <w:pPr>
        <w:spacing w:after="0" w:line="22" w:lineRule="exact"/>
        <w:rPr>
          <w:rFonts w:ascii="Times New Roman" w:cs="Times New Roman" w:eastAsia="Times New Roman" w:hAnsi="Times New Roman"/>
          <w:sz w:val="18"/>
          <w:szCs w:val="18"/>
          <w:b w:val="1"/>
          <w:bCs w:val="1"/>
          <w:color w:val="auto"/>
        </w:rPr>
      </w:pPr>
    </w:p>
    <w:p>
      <w:pPr>
        <w:ind w:left="460" w:hanging="223"/>
        <w:spacing w:after="0" w:line="286" w:lineRule="auto"/>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Expanded AI Infrastructure Collaboration with Arm: </w:t>
      </w:r>
      <w:r>
        <w:rPr>
          <w:rFonts w:ascii="Times New Roman" w:cs="Times New Roman" w:eastAsia="Times New Roman" w:hAnsi="Times New Roman"/>
          <w:sz w:val="18"/>
          <w:szCs w:val="18"/>
          <w:color w:val="auto"/>
        </w:rPr>
        <w:t>Announced a collaboration combining Arm AGI CPU server platforms, Lattice FPGAs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AMI firmware to deliver secure control, management and connectivity for next-generation AI data centers.</w:t>
      </w:r>
    </w:p>
    <w:p>
      <w:pPr>
        <w:spacing w:after="0" w:line="6" w:lineRule="exact"/>
        <w:rPr>
          <w:rFonts w:ascii="Times New Roman" w:cs="Times New Roman" w:eastAsia="Times New Roman" w:hAnsi="Times New Roman"/>
          <w:sz w:val="18"/>
          <w:szCs w:val="18"/>
          <w:b w:val="1"/>
          <w:bCs w:val="1"/>
          <w:color w:val="auto"/>
        </w:rPr>
      </w:pPr>
    </w:p>
    <w:p>
      <w:pPr>
        <w:ind w:left="460" w:right="780" w:hanging="223"/>
        <w:spacing w:after="0" w:line="286" w:lineRule="auto"/>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Accelerated FPGA Development with AI: </w:t>
      </w:r>
      <w:r>
        <w:rPr>
          <w:rFonts w:ascii="Times New Roman" w:cs="Times New Roman" w:eastAsia="Times New Roman" w:hAnsi="Times New Roman"/>
          <w:sz w:val="18"/>
          <w:szCs w:val="18"/>
          <w:color w:val="auto"/>
        </w:rPr>
        <w:t>Launched Lattice Prompt, enabling natural-language access across the FPGA design flow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productivity gains of 10X or more on common design tasks.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Third Quarter 2026 Highlights (continued):</w:t>
      </w:r>
    </w:p>
    <w:p>
      <w:pPr>
        <w:spacing w:after="0" w:line="117" w:lineRule="exact"/>
        <w:rPr>
          <w:sz w:val="20"/>
          <w:szCs w:val="20"/>
          <w:color w:val="auto"/>
        </w:rPr>
      </w:pPr>
    </w:p>
    <w:p>
      <w:pPr>
        <w:ind w:left="460" w:right="220" w:hanging="223"/>
        <w:spacing w:after="0" w:line="306" w:lineRule="auto"/>
        <w:tabs>
          <w:tab w:leader="none" w:pos="46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Extended Secure Control FPGA Leadership: </w:t>
      </w:r>
      <w:r>
        <w:rPr>
          <w:rFonts w:ascii="Times New Roman" w:cs="Times New Roman" w:eastAsia="Times New Roman" w:hAnsi="Times New Roman"/>
          <w:sz w:val="17"/>
          <w:szCs w:val="17"/>
          <w:color w:val="auto"/>
        </w:rPr>
        <w:t>Introduced the Lattice Mach-N2 family, combining integrated flash, hardware Root of Trust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post-quantum cryptography with greater logic density and connectivity. Samples have shipped to leading Compute &amp; Communications customers.</w:t>
      </w:r>
    </w:p>
    <w:p>
      <w:pPr>
        <w:spacing w:after="0" w:line="1" w:lineRule="exact"/>
        <w:rPr>
          <w:rFonts w:ascii="Times New Roman" w:cs="Times New Roman" w:eastAsia="Times New Roman" w:hAnsi="Times New Roman"/>
          <w:sz w:val="17"/>
          <w:szCs w:val="17"/>
          <w:b w:val="1"/>
          <w:bCs w:val="1"/>
          <w:color w:val="auto"/>
        </w:rPr>
      </w:pPr>
    </w:p>
    <w:p>
      <w:pPr>
        <w:ind w:left="460" w:right="100" w:hanging="223"/>
        <w:spacing w:after="0" w:line="286"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Expanded Quantum-Resistant Platform Security: </w:t>
      </w:r>
      <w:r>
        <w:rPr>
          <w:rFonts w:ascii="Times New Roman" w:cs="Times New Roman" w:eastAsia="Times New Roman" w:hAnsi="Times New Roman"/>
          <w:sz w:val="18"/>
          <w:szCs w:val="18"/>
          <w:color w:val="auto"/>
        </w:rPr>
        <w:t>Released Lattice Sentry 5.0, the industry’s first PQC-enabled platform firmware resilience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attestation solution, combining Lattice FPGAs with AMI software to protect AI infrastructure and simplify secure deployment.</w:t>
      </w:r>
    </w:p>
    <w:p>
      <w:pPr>
        <w:spacing w:after="0" w:line="6" w:lineRule="exact"/>
        <w:rPr>
          <w:rFonts w:ascii="Times New Roman" w:cs="Times New Roman" w:eastAsia="Times New Roman" w:hAnsi="Times New Roman"/>
          <w:sz w:val="18"/>
          <w:szCs w:val="18"/>
          <w:b w:val="1"/>
          <w:bCs w:val="1"/>
          <w:color w:val="auto"/>
        </w:rPr>
      </w:pPr>
    </w:p>
    <w:p>
      <w:pPr>
        <w:ind w:left="460" w:right="220" w:hanging="223"/>
        <w:spacing w:after="0" w:line="286"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Recognized for Post-Quantum Cryptography Security: </w:t>
      </w:r>
      <w:r>
        <w:rPr>
          <w:rFonts w:ascii="Times New Roman" w:cs="Times New Roman" w:eastAsia="Times New Roman" w:hAnsi="Times New Roman"/>
          <w:sz w:val="18"/>
          <w:szCs w:val="18"/>
          <w:color w:val="auto"/>
        </w:rPr>
        <w:t>Lattice MachXO5-NX TDQ FPGAs won the 2026 CyberSecurity Breakthrough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Post-quantum cryptography (PQC) Solution of the Year.</w:t>
      </w:r>
    </w:p>
    <w:p>
      <w:pPr>
        <w:spacing w:after="0" w:line="6" w:lineRule="exact"/>
        <w:rPr>
          <w:rFonts w:ascii="Times New Roman" w:cs="Times New Roman" w:eastAsia="Times New Roman" w:hAnsi="Times New Roman"/>
          <w:sz w:val="18"/>
          <w:szCs w:val="18"/>
          <w:b w:val="1"/>
          <w:bCs w:val="1"/>
          <w:color w:val="auto"/>
        </w:rPr>
      </w:pPr>
    </w:p>
    <w:p>
      <w:pPr>
        <w:ind w:left="460" w:right="240" w:hanging="223"/>
        <w:spacing w:after="0" w:line="268"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Broadened AI Infrastructure Support with AMD: </w:t>
      </w:r>
      <w:r>
        <w:rPr>
          <w:rFonts w:ascii="Times New Roman" w:cs="Times New Roman" w:eastAsia="Times New Roman" w:hAnsi="Times New Roman"/>
          <w:sz w:val="18"/>
          <w:szCs w:val="18"/>
          <w:color w:val="auto"/>
        </w:rPr>
        <w:t>Announced fully validated AMI Rack Manager support for AMD Helios rackscale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Aptio V and MegaRAC OneTree firmware support for 6th Gen AMD EPYC processors, simplifying deployment and enabling secure boot, monitoring and management for next-generation AI data centers.</w:t>
      </w:r>
    </w:p>
    <w:p>
      <w:pPr>
        <w:spacing w:after="0" w:line="22" w:lineRule="exact"/>
        <w:rPr>
          <w:rFonts w:ascii="Times New Roman" w:cs="Times New Roman" w:eastAsia="Times New Roman" w:hAnsi="Times New Roman"/>
          <w:sz w:val="18"/>
          <w:szCs w:val="18"/>
          <w:b w:val="1"/>
          <w:bCs w:val="1"/>
          <w:color w:val="auto"/>
        </w:rPr>
      </w:pPr>
    </w:p>
    <w:p>
      <w:pPr>
        <w:ind w:left="460" w:right="420" w:hanging="223"/>
        <w:spacing w:after="0" w:line="268"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Launched Rack-Scale AI Infrastructure Management: </w:t>
      </w:r>
      <w:r>
        <w:rPr>
          <w:rFonts w:ascii="Times New Roman" w:cs="Times New Roman" w:eastAsia="Times New Roman" w:hAnsi="Times New Roman"/>
          <w:sz w:val="18"/>
          <w:szCs w:val="18"/>
          <w:color w:val="auto"/>
        </w:rPr>
        <w:t>Introduced AMI Rack Manager 1.0 at AMI Tech Summit 2026 in Taipei,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centralized monitoring, management and automation across diverse rack infrastructure. Expanded visibility into rack health, power and thermal conditions to simplify deployment and optimize resource utilization.</w:t>
      </w:r>
    </w:p>
    <w:p>
      <w:pPr>
        <w:spacing w:after="0" w:line="22" w:lineRule="exact"/>
        <w:rPr>
          <w:rFonts w:ascii="Times New Roman" w:cs="Times New Roman" w:eastAsia="Times New Roman" w:hAnsi="Times New Roman"/>
          <w:sz w:val="18"/>
          <w:szCs w:val="18"/>
          <w:b w:val="1"/>
          <w:bCs w:val="1"/>
          <w:color w:val="auto"/>
        </w:rPr>
      </w:pPr>
    </w:p>
    <w:p>
      <w:pPr>
        <w:ind w:left="460" w:right="380" w:hanging="223"/>
        <w:spacing w:after="0" w:line="268"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Strengthened Data Center Memory Resilience with SK Hynix: </w:t>
      </w:r>
      <w:r>
        <w:rPr>
          <w:rFonts w:ascii="Times New Roman" w:cs="Times New Roman" w:eastAsia="Times New Roman" w:hAnsi="Times New Roman"/>
          <w:sz w:val="18"/>
          <w:szCs w:val="18"/>
          <w:color w:val="auto"/>
        </w:rPr>
        <w:t>Announced production-ready support for the SK Hynix RAS Library in AMI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MegaRAC OneTree, integrating proactive memory error management, runtime repair and page-offlining to improve server reliability, simplify maintenance and reduce total cost of ownership.</w:t>
      </w:r>
    </w:p>
    <w:p>
      <w:pPr>
        <w:spacing w:after="0" w:line="22" w:lineRule="exact"/>
        <w:rPr>
          <w:rFonts w:ascii="Times New Roman" w:cs="Times New Roman" w:eastAsia="Times New Roman" w:hAnsi="Times New Roman"/>
          <w:sz w:val="18"/>
          <w:szCs w:val="18"/>
          <w:b w:val="1"/>
          <w:bCs w:val="1"/>
          <w:color w:val="auto"/>
        </w:rPr>
      </w:pPr>
    </w:p>
    <w:p>
      <w:pPr>
        <w:jc w:val="both"/>
        <w:ind w:left="460" w:right="60" w:hanging="223"/>
        <w:spacing w:after="0" w:line="268" w:lineRule="auto"/>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Expanded Data Center Management Capabilities: </w:t>
      </w:r>
      <w:r>
        <w:rPr>
          <w:rFonts w:ascii="Times New Roman" w:cs="Times New Roman" w:eastAsia="Times New Roman" w:hAnsi="Times New Roman"/>
          <w:sz w:val="18"/>
          <w:szCs w:val="18"/>
          <w:color w:val="auto"/>
        </w:rPr>
        <w:t>Released AMI Data Center Manager 6.2, combining fleet-wide BIOS configuration, enhanced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firmware provisioning and advanced GPU diagnostics with expanded power and thermal monitoring to simplify large-scale infrastructure operations and improve efficiency across AI and enterprise data centers.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 Fourth Quarter of 2026:</w:t>
      </w:r>
    </w:p>
    <w:p>
      <w:pPr>
        <w:spacing w:after="0" w:line="121" w:lineRule="exact"/>
        <w:rPr>
          <w:sz w:val="20"/>
          <w:szCs w:val="20"/>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Lattice revenue for the fourth quarter of 2026 is expected to be between $325 million and $345 million.</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Lattice gross margin for the fourth quarter of 2026 is expected to be 72.0% plus or minus 1% on a non-GAAP basis.</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operating expenses for the fourth quarter of 2026 are expected to be between $95 million and $101 million on a non-GAAP basis.</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rate for the fourth quarter of 2026 is expected to be between 4% and 6% on a non-GAAP basis.</w:t>
      </w:r>
    </w:p>
    <w:p>
      <w:pPr>
        <w:spacing w:after="0" w:line="76" w:lineRule="exact"/>
        <w:rPr>
          <w:rFonts w:ascii="Times New Roman" w:cs="Times New Roman" w:eastAsia="Times New Roman" w:hAnsi="Times New Roman"/>
          <w:sz w:val="18"/>
          <w:szCs w:val="18"/>
          <w:b w:val="1"/>
          <w:bCs w:val="1"/>
          <w:color w:val="auto"/>
        </w:rPr>
      </w:pPr>
    </w:p>
    <w:p>
      <w:pPr>
        <w:ind w:left="460" w:hanging="223"/>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 for the fourth quarter of 2026 is expected to be between $0.82 and $0.86 per share on a non-GAAP basis.</w:t>
      </w:r>
    </w:p>
    <w:p>
      <w:pPr>
        <w:spacing w:after="0" w:line="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i w:val="1"/>
          <w:iCs w:val="1"/>
          <w:color w:val="auto"/>
        </w:rPr>
        <w:t>Non-GAAP Financial Measures: In addition to financial measures prepared in accordance with generally accepted accounting principles (GAAP), this earnings release makes reference to non-GAAP financial measures. With respect to the outlook for the fourth quarter of 2026, certain items that affect reconciliation of non-GAAP financial measures for non-GAAP gross margin percentage, non-GAAP total operating expenses, non-GAAP income tax rate, non-GAAP EPS, and non-GAAP net income are not available on a forward-looking basis because such items cannot be reasonably calculated without unreasonable efforts due to the unpredictability of the amounts and timing of events affecting the items we exclude from non-GAAP financial measures, including certain large and/or unpredictable charges such as stock-based compensation expense; performance-based equity expense; legal expense outside the ordinary course of business; amortization of acquired intangible assets; restructuring; impairment and acquisition related charges; write-off of unamortized debt costs; and the estimated tax effect of these items, non-cash changes in net deferred income taxes, and other tax adjustments. Consequently, the Company is unable to calculate the most directly comparable GAAP measure to non-GAAP gross margin percentage, non-GAAP total operating expenses, non-GAAP income tax rate, non-GAAP EPS, and non-GAAP net income for the Company’s fourth quarter of 2026 guidance.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 Webcast Details:</w:t>
      </w:r>
    </w:p>
    <w:p>
      <w:pPr>
        <w:spacing w:after="0" w:line="148" w:lineRule="exact"/>
        <w:rPr>
          <w:sz w:val="20"/>
          <w:szCs w:val="20"/>
          <w:color w:val="auto"/>
        </w:rPr>
      </w:pPr>
    </w:p>
    <w:p>
      <w:pPr>
        <w:ind w:right="60"/>
        <w:spacing w:after="0" w:line="323" w:lineRule="auto"/>
        <w:rPr>
          <w:sz w:val="20"/>
          <w:szCs w:val="20"/>
          <w:color w:val="auto"/>
        </w:rPr>
      </w:pPr>
      <w:r>
        <w:rPr>
          <w:rFonts w:ascii="Times New Roman" w:cs="Times New Roman" w:eastAsia="Times New Roman" w:hAnsi="Times New Roman"/>
          <w:sz w:val="18"/>
          <w:szCs w:val="18"/>
          <w:color w:val="auto"/>
        </w:rPr>
        <w:t>Lattice Semiconductor will review the Company's financial results for the fiscal third quarter 2026, and business outlook on Monday, November 2, 2026 at 5:00 p.m. Eastern Time. The dial-in number for the live audio call is 1-877-407-3982 or 1-201-493-6780 with conference identification number 13763047. A live webcast of the conference call will also be available on the investor relations section of www.latticesemi.com. The Company's financial guidance will be limited to the comments on its public quarterly earnings call and the public business outlook statements contained in this press release.</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 Notice:</w:t>
      </w:r>
    </w:p>
    <w:p>
      <w:pPr>
        <w:spacing w:after="0" w:line="175"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made pursuant to the safe harbor provisions of Section 27A of the Securities Act of 1933, as amended, and Section 21E of the Securities Exchange Act of 1934, as amended. These statements involve estimates, assumptions, risks and uncertainties. Any statements about our expectations, beliefs, plans, objectives, assumptions or future events or performance are neither historical facts nor assurances of future performance and may be forward-looking. Such forward-looking statements include, but are not limited to, statements relating to our revenue, EPS growth, and free cash flow and related drivers; future financial performance; market share; profitable growth; shareholder value, our plans to reduce debt and expand free cash flow; our business outlook and guidance for the fourth quarter of 2026, including expected revenue, non-GAAP gross margin, non-GAAP total operating expenses, non-GAAP income tax rate and non-GAAP net income per share; expected year-over-year revenue growth rates, including expected growth in our Industrial and Embedded and Compute and Communications end markets; expected growth in revenue from new products and its anticipated contribution as a percentage of FPGA revenue; the expected benefits, performance, availability and customer adoption of the products, solutions, collaborations and partnerships described in this press release; the expected benefits, performance, availability and customer adoption of our products and solutions, and the continued participation, cooperation and performance of customers, partners and other third parties involved in the collaborations and initiatives described herein; our expectations related</w:t>
      </w:r>
    </w:p>
    <w:p>
      <w:pPr>
        <w:spacing w:after="0" w:line="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8"/>
          <w:szCs w:val="18"/>
          <w:color w:val="auto"/>
        </w:rPr>
        <w:t>to market recovery and growth including AI and data center-related growth; statements about operating leverage and margin expansion; statements about design win momentum, backlog strength, and our companion chip opportunity; our product and technology leadership, including in small and mid-range FPGAs; our expectations regarding the acquisition of AMI, including expected benefits, integration, and expected accretive impact on non-GAAP gross margin, adjusted EBITDA, free cash flow, and EPS; the statements under the headings “Third Quarter 2026 Highlights” and “Business Outlook - Fourth Quarter of 2026,” and the forward-looking statements contained in the headline and subheadlines of this press release and in the quotations attributed to our Chief Executive Officer and Chief Financial Officer. Other forward-looking statements may be indicated by words such as “will,” “could,” “should,” “would,” “may,” “expect,” “plan,” “project,” “anticipate,” “intend,” “forecast,” “future,” “believe,” “estimate,” “predict,” “propose,” “potential,” “continue” or the negative of these terms or other comparable terminology.</w:t>
      </w:r>
    </w:p>
    <w:p>
      <w:pPr>
        <w:spacing w:after="0" w:line="81"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8"/>
          <w:szCs w:val="18"/>
          <w:color w:val="auto"/>
        </w:rPr>
        <w:t>Estimates of future revenue and other financial and operational outcomes are inherently uncertain due to factors such as: global economic conditions which may affect customer demand; the cyclical nature of the semiconductor industry including fluctuating customer and distributor purchasing patterns, inventory levels, and order timing; pricing and inflationary pressures; competitive actions including competition from customers’ internal development efforts and open-source or other alternative firmware and software solutions; international trade disputes and sanctions; the impact of tariffs, trade restrictions, export controls, license requirements or similar actions on us or our suppliers and customers, including the impact on the costs of our products, the products into which they are integrated, and the impact on demand due to costs and uncertainty; the risk that we will not successfully integrate AMI's businesses within the anticipated timeframe, or that such integration will be more difficult, costly, or time-consuming than anticipated; the risk that we may fail to realize the anticipated benefits, synergies, cost savings, or accretive impact on gross margin, adjusted EBITDA, free cash flow, and EPS on a non-GAAP basis of the AMI acquisition within the expected timeframe or at all; risks relating to the indebtedness we incurred in connection with the AMI acquisition, including our ability to service and reduce that debt, restrictions imposed by our debt agreements, and the effect of changes in interest rates; the risk of impairment of the goodwill and acquired intangible assets recorded in connection with the AMI acquisition; concentration of demand among a limited number of customers, distributors and end markets, including artificial intelligence and data center infrastructure, and the risk that anticipated demand does not materialize or is not sustained; our dependence on third-party foundry, assembly and test providers and our ability to obtain sufficient manufacturing capacity; the retention of key employees of the acquired business; cybersecurity incidents affecting us, our suppliers or our customers and risks relating to the security of our products and firmware, including vulnerabilities arising from third-party or open-source components; the rapid pace of technological change and our ability to develop and introduce new products on schedule; risks relating to intellectual property and litigation; delays, defects or other difficulties in developing, releasing, updating or supporting our firmware and software products; and other significant risks and uncertainties that are beyond our ability to predict or control.</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 w:name="page7"/>
    <w:bookmarkEnd w:id="6"/>
    <w:p>
      <w:pPr>
        <w:ind w:right="200"/>
        <w:spacing w:after="0" w:line="320" w:lineRule="auto"/>
        <w:rPr>
          <w:sz w:val="20"/>
          <w:szCs w:val="20"/>
          <w:color w:val="auto"/>
        </w:rPr>
      </w:pPr>
      <w:r>
        <w:rPr>
          <w:rFonts w:ascii="Times New Roman" w:cs="Times New Roman" w:eastAsia="Times New Roman" w:hAnsi="Times New Roman"/>
          <w:sz w:val="18"/>
          <w:szCs w:val="18"/>
          <w:color w:val="auto"/>
        </w:rPr>
        <w:t>Actual gross margin percentage, operating expenses, income tax rate, and net income on a per share basis could vary from the estimates on the basis of, among other things, changes in revenue levels, changes in product pricing and segment, product, license, and service mix (including the relative contribution of our FPGA and AMI segments), changes in wafer, assembly, test and other costs, variations in manufacturing yields, our ability to secure sufficient supply to meet customer demand; the failure to sustain operational improvements, and the actual amount of compensation charges due to stock price changes.</w:t>
      </w:r>
    </w:p>
    <w:p>
      <w:pPr>
        <w:spacing w:after="0" w:line="78" w:lineRule="exact"/>
        <w:rPr>
          <w:sz w:val="20"/>
          <w:szCs w:val="20"/>
          <w:color w:val="auto"/>
        </w:rPr>
      </w:pPr>
    </w:p>
    <w:p>
      <w:pPr>
        <w:ind w:right="160"/>
        <w:spacing w:after="0" w:line="319" w:lineRule="auto"/>
        <w:rPr>
          <w:sz w:val="20"/>
          <w:szCs w:val="20"/>
          <w:color w:val="auto"/>
        </w:rPr>
      </w:pPr>
      <w:r>
        <w:rPr>
          <w:rFonts w:ascii="Times New Roman" w:cs="Times New Roman" w:eastAsia="Times New Roman" w:hAnsi="Times New Roman"/>
          <w:sz w:val="18"/>
          <w:szCs w:val="18"/>
          <w:color w:val="auto"/>
        </w:rPr>
        <w:t>Actual results may differ materially from our expectations and are subject to risks and uncertainties that relate more broadly to our overall business, including those described in our filings with the Securities and Exchange Commission, including Lattice’s most recent Annual Report on Form 10-K and Quarterly Report on Form 10-Q, especially those under the captions “Risk Factors” and “Management's Discussion and Analysis of Financial Condition and Results of Operations”, all of which are expressly incorporated herein by reference. This press release is being furnished to, and not filed with, the Securities and Exchange Commission, and nothing contained herein shall be deemed incorporated by reference into any filing under the Securities Act of 1933, as amended, or the Securities Exchange Act of 1934, as amended, except as expressly set forth by specific reference in such filing.</w:t>
      </w:r>
    </w:p>
    <w:p>
      <w:pPr>
        <w:spacing w:after="0" w:line="77" w:lineRule="exact"/>
        <w:rPr>
          <w:sz w:val="20"/>
          <w:szCs w:val="20"/>
          <w:color w:val="auto"/>
        </w:rPr>
      </w:pPr>
    </w:p>
    <w:p>
      <w:pPr>
        <w:ind w:right="20"/>
        <w:spacing w:after="0" w:line="319" w:lineRule="auto"/>
        <w:rPr>
          <w:sz w:val="20"/>
          <w:szCs w:val="20"/>
          <w:color w:val="auto"/>
        </w:rPr>
      </w:pPr>
      <w:r>
        <w:rPr>
          <w:rFonts w:ascii="Times New Roman" w:cs="Times New Roman" w:eastAsia="Times New Roman" w:hAnsi="Times New Roman"/>
          <w:sz w:val="18"/>
          <w:szCs w:val="18"/>
          <w:color w:val="auto"/>
        </w:rPr>
        <w:t>Lattice believes these and other risks and uncertainties could cause actual results to differ materially from the forward-looking statements. New risk factors emerge from time to time and it is not possible for the Company to predict all risk factors. You should not rely on forward-looking statements because actual results could differ materially from those expressed in any forward-looking statements. In addition, any forward-looking statement applies only as of the date on which it is made. The Company does not intend to and undertakes no obligation to update or revise any forward-looking statements, whether as a result of events or circumstances after the date hereof or to reflect the occurrence of unanticipated events. The cautionary statements contained in this press release also apply to any forward-looking statements made by the Company during its related conference call and webcast.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8"/>
          <w:szCs w:val="18"/>
          <w:color w:val="auto"/>
        </w:rPr>
        <w:t>Included within this press release and the accompanying tables and notes are certain non-GAAP financial measures that supplement the Company's consolidated financial information prepared in accordance with U.S. GAAP, including non-GAAP gross margin, gross margin percentage, R&amp;D expense percentage, SG&amp;A expense percentage, operating expenses, income from operations, income from operations percentage, interest (expense) income, net, other (expense) income, net, income tax expense, net income, net income per share – basic, and net income per share – diluted, adjusted EBITDA, adjusted EBITDA margin, free cash flow, and free cash flow margin. The non-GAAP measures presented exclude charges and adjustments primarily related to stock-based compensation and related payroll tax effects; accruals related to the portion of our annual incentive plan that we intend to settle in shares of our common stock; transformation activities; legal expense outside the ordinary course of business; amortization of acquired intangible assets; restructuring plan and other charges; acquisition related charges, write-off of unamortized debt costs; bridge facility debt cost amortization, and the estimated tax effect of these items, non-cash changes in net deferred income taxes, change in tax law and other tax adjustments; and depreciation and other amortization. These charges and adjustments are a result of periodic or non-core operating activities of the Company. The Company describes these non-GAAP financial measures and reconciles them to the most directly comparable GAAP measures in the tables and notes attached to this press release.</w:t>
      </w:r>
    </w:p>
    <w:p>
      <w:pPr>
        <w:spacing w:after="0" w:line="121" w:lineRule="exact"/>
        <w:rPr>
          <w:sz w:val="20"/>
          <w:szCs w:val="20"/>
          <w:color w:val="auto"/>
        </w:rPr>
      </w:pPr>
    </w:p>
    <w:p>
      <w:pPr>
        <w:ind w:right="60"/>
        <w:spacing w:after="0" w:line="318" w:lineRule="auto"/>
        <w:rPr>
          <w:sz w:val="20"/>
          <w:szCs w:val="20"/>
          <w:color w:val="auto"/>
        </w:rPr>
      </w:pPr>
      <w:r>
        <w:rPr>
          <w:rFonts w:ascii="Times New Roman" w:cs="Times New Roman" w:eastAsia="Times New Roman" w:hAnsi="Times New Roman"/>
          <w:sz w:val="18"/>
          <w:szCs w:val="18"/>
          <w:color w:val="auto"/>
        </w:rPr>
        <w:t>The Company's management believes that these non-GAAP financial measures provide an additional and useful way of viewing aspects of our performance that, when viewed in conjunction with our GAAP results, provide a more comprehensive understanding of the various factors and trends affecting our ongoing financial performance and operating results than GAAP measures alone. Management also uses these non-GAAP measures for strategic and business decision-making, internal budgeting, forecasting, and resource allocation processes and believes that investors should have access to similar data. The non-GAAP financial information used by the Company may differ from that used by other companies. These non-GAAP measures are included solely for informational and comparative purposes and are not meant as a substitute for GAAP and should be considered together with the consolidated financial information located in the tables attached to this press release.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Lattice Semiconductor Corporation:</w:t>
      </w:r>
    </w:p>
    <w:p>
      <w:pPr>
        <w:spacing w:after="0" w:line="175"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8"/>
          <w:szCs w:val="18"/>
          <w:color w:val="auto"/>
        </w:rPr>
        <w:t>Lattice Semiconductor (Nasdaq: LSCC) is the low power programmable and platform firmware leader. We solve customer challenges from the Edge to the Cloud, in the growing Compute, Communications, Industrial, and Embedded markets. With the addition of AMI's industry-leading, silicon-neutral platform firmware and infrastructure manageability solutions, Lattice now delivers the industry's most complete secure management and control platform for cloud and AI data center infrastructure. Our technology, long-standing relationships, and commitment to world-class support let our customers quickly and easily unleash their innovation to create a smart, secure, and connected world. For more information about Lattice, please visit www.latticesemi.com and follow us via LinkedIn, X, YouTube, Facebook, WeChat, and Weibo.</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July 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27,</w:t>
            </w:r>
          </w:p>
        </w:tc>
      </w:tr>
      <w:tr>
        <w:trPr>
          <w:trHeight w:val="238"/>
        </w:trPr>
        <w:tc>
          <w:tcPr>
            <w:tcW w:w="34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377,470</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 sold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59,747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120,464</w:t>
            </w:r>
          </w:p>
        </w:tc>
      </w:tr>
      <w:tr>
        <w:trPr>
          <w:trHeight w:val="229"/>
        </w:trPr>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59,747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207,927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120,464</w:t>
            </w: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257,006</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64,231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134,550</w:t>
            </w:r>
          </w:p>
        </w:tc>
      </w:tr>
      <w:tr>
        <w:trPr>
          <w:trHeight w:val="216"/>
        </w:trPr>
        <w:tc>
          <w:tcPr>
            <w:tcW w:w="3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50,278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109,339</w:t>
            </w:r>
          </w:p>
        </w:tc>
      </w:tr>
      <w:tr>
        <w:trPr>
          <w:trHeight w:val="216"/>
        </w:trPr>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related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Restructuring and other</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2,938</w:t>
            </w:r>
          </w:p>
        </w:tc>
      </w:tr>
      <w:tr>
        <w:trPr>
          <w:trHeight w:val="209"/>
        </w:trPr>
        <w:tc>
          <w:tcPr>
            <w:tcW w:w="3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382,695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246,860</w:t>
            </w: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22,353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10,146</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w:t>
            </w: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0"/>
        </w:trPr>
        <w:tc>
          <w:tcPr>
            <w:tcW w:w="3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12,109</w:t>
            </w: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r>
      <w:tr>
        <w:trPr>
          <w:trHeight w:val="209"/>
        </w:trPr>
        <w:tc>
          <w:tcPr>
            <w:tcW w:w="3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19,359</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52,382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10,729</w:t>
            </w:r>
          </w:p>
        </w:tc>
      </w:tr>
      <w:tr>
        <w:trPr>
          <w:trHeight w:val="20"/>
        </w:trPr>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6"/>
        </w:trPr>
        <w:tc>
          <w:tcPr>
            <w:tcW w:w="3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r>
      <w:tr>
        <w:trPr>
          <w:trHeight w:val="196"/>
        </w:trPr>
        <w:tc>
          <w:tcPr>
            <w:tcW w:w="344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0.08</w:t>
            </w:r>
          </w:p>
        </w:tc>
      </w:tr>
      <w:tr>
        <w:trPr>
          <w:trHeight w:val="20"/>
        </w:trPr>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3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6"/>
        </w:trPr>
        <w:tc>
          <w:tcPr>
            <w:tcW w:w="3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140,863</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137,049</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136,877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138,242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137,224</w:t>
            </w:r>
          </w:p>
        </w:tc>
      </w:tr>
      <w:tr>
        <w:trPr>
          <w:trHeight w:val="197"/>
        </w:trPr>
        <w:tc>
          <w:tcPr>
            <w:tcW w:w="34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143,772</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140,232</w:t>
            </w: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138,103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141,318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138,069</w:t>
            </w:r>
          </w:p>
        </w:tc>
      </w:tr>
      <w:tr>
        <w:trPr>
          <w:trHeight w:val="20"/>
        </w:trPr>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29"/>
        </w:trPr>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3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128,277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133,886</w:t>
            </w:r>
          </w:p>
        </w:tc>
        <w:tc>
          <w:tcPr>
            <w:tcW w:w="0" w:type="dxa"/>
            <w:vAlign w:val="bottom"/>
          </w:tcPr>
          <w:p>
            <w:pPr>
              <w:spacing w:after="0"/>
              <w:rPr>
                <w:sz w:val="1"/>
                <w:szCs w:val="1"/>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102,277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89,202</w:t>
            </w:r>
          </w:p>
        </w:tc>
        <w:tc>
          <w:tcPr>
            <w:tcW w:w="0" w:type="dxa"/>
            <w:vAlign w:val="bottom"/>
          </w:tcPr>
          <w:p>
            <w:pPr>
              <w:spacing w:after="0"/>
              <w:rPr>
                <w:sz w:val="1"/>
                <w:szCs w:val="1"/>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86,149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38,509</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497,632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363,874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77,032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39,459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315,358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62,675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22,708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20,579</w:t>
            </w:r>
          </w:p>
        </w:tc>
        <w:tc>
          <w:tcPr>
            <w:tcW w:w="0" w:type="dxa"/>
            <w:vAlign w:val="bottom"/>
          </w:tcPr>
          <w:p>
            <w:pPr>
              <w:spacing w:after="0"/>
              <w:rPr>
                <w:sz w:val="1"/>
                <w:szCs w:val="1"/>
                <w:color w:val="auto"/>
              </w:rPr>
            </w:pPr>
          </w:p>
        </w:tc>
      </w:tr>
      <w:tr>
        <w:trPr>
          <w:trHeight w:val="249"/>
        </w:trPr>
        <w:tc>
          <w:tcPr>
            <w:tcW w:w="546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2,609,565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883,120</w:t>
            </w:r>
          </w:p>
        </w:tc>
        <w:tc>
          <w:tcPr>
            <w:tcW w:w="0" w:type="dxa"/>
            <w:vAlign w:val="bottom"/>
          </w:tcPr>
          <w:p>
            <w:pPr>
              <w:spacing w:after="0"/>
              <w:rPr>
                <w:sz w:val="1"/>
                <w:szCs w:val="1"/>
                <w:color w:val="auto"/>
              </w:rPr>
            </w:pPr>
          </w:p>
        </w:tc>
      </w:tr>
      <w:tr>
        <w:trPr>
          <w:trHeight w:val="197"/>
        </w:trPr>
        <w:tc>
          <w:tcPr>
            <w:tcW w:w="546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115,329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56,518</w:t>
            </w:r>
          </w:p>
        </w:tc>
        <w:tc>
          <w:tcPr>
            <w:tcW w:w="0" w:type="dxa"/>
            <w:vAlign w:val="bottom"/>
          </w:tcPr>
          <w:p>
            <w:pPr>
              <w:spacing w:after="0"/>
              <w:rPr>
                <w:sz w:val="1"/>
                <w:szCs w:val="1"/>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30,594</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obligations</w:t>
            </w:r>
          </w:p>
        </w:tc>
        <w:tc>
          <w:tcPr>
            <w:tcW w:w="2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30,561</w:t>
            </w:r>
          </w:p>
        </w:tc>
        <w:tc>
          <w:tcPr>
            <w:tcW w:w="0" w:type="dxa"/>
            <w:vAlign w:val="bottom"/>
          </w:tcPr>
          <w:p>
            <w:pPr>
              <w:spacing w:after="0"/>
              <w:rPr>
                <w:sz w:val="1"/>
                <w:szCs w:val="1"/>
                <w:color w:val="auto"/>
              </w:rPr>
            </w:pPr>
          </w:p>
        </w:tc>
      </w:tr>
      <w:tr>
        <w:trPr>
          <w:trHeight w:val="210"/>
        </w:trPr>
        <w:tc>
          <w:tcPr>
            <w:tcW w:w="5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117,673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 net of current portion</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15,266</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169,066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1,417,233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714,054</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2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2,609,565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883,120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54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7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38"/>
        </w:trPr>
        <w:tc>
          <w:tcPr>
            <w:tcW w:w="7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52,382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10,729</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122,764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80,233</w:t>
            </w:r>
          </w:p>
        </w:tc>
      </w:tr>
      <w:tr>
        <w:trPr>
          <w:trHeight w:val="216"/>
        </w:trPr>
        <w:tc>
          <w:tcPr>
            <w:tcW w:w="7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26,567</w:t>
            </w:r>
          </w:p>
        </w:tc>
      </w:tr>
      <w:tr>
        <w:trPr>
          <w:trHeight w:val="216"/>
        </w:trPr>
        <w:tc>
          <w:tcPr>
            <w:tcW w:w="7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4,251</w:t>
            </w:r>
          </w:p>
        </w:tc>
      </w:tr>
      <w:tr>
        <w:trPr>
          <w:trHeight w:val="216"/>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assets and liabilities, excluding impact of acquisition</w:t>
            </w: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r>
      <w:tr>
        <w:trPr>
          <w:trHeight w:val="210"/>
        </w:trPr>
        <w:tc>
          <w:tcPr>
            <w:tcW w:w="7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233,594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117,523</w:t>
            </w:r>
          </w:p>
        </w:tc>
      </w:tr>
      <w:tr>
        <w:trPr>
          <w:trHeight w:val="20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business acquisition, net of cash acquired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(28,920)</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w:t>
            </w:r>
          </w:p>
        </w:tc>
      </w:tr>
      <w:tr>
        <w:trPr>
          <w:trHeight w:val="209"/>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(41,133)</w:t>
            </w: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(85,855)</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related to stock compensation exercises</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09"/>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803,331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(95,286)</w:t>
            </w:r>
          </w:p>
        </w:tc>
      </w:tr>
      <w:tr>
        <w:trPr>
          <w:trHeight w:val="21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 on cash</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133,886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136,291</w:t>
            </w:r>
          </w:p>
        </w:tc>
      </w:tr>
      <w:tr>
        <w:trPr>
          <w:trHeight w:val="249"/>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128,277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117,910</w:t>
            </w:r>
          </w:p>
        </w:tc>
      </w:tr>
      <w:tr>
        <w:trPr>
          <w:trHeight w:val="197"/>
        </w:trPr>
        <w:tc>
          <w:tcPr>
            <w:tcW w:w="74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194"/>
        </w:trPr>
        <w:tc>
          <w:tcPr>
            <w:tcW w:w="7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 and non-cash investing and financing</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3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5,294</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payments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5,971</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purchases of intellectual property licenses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purchases of plant and equipment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8,071</w:t>
            </w:r>
          </w:p>
        </w:tc>
      </w:tr>
      <w:tr>
        <w:trPr>
          <w:trHeight w:val="216"/>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obligations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10,349</w:t>
            </w:r>
          </w:p>
        </w:tc>
      </w:tr>
      <w:tr>
        <w:trPr>
          <w:trHeight w:val="648"/>
        </w:trPr>
        <w:tc>
          <w:tcPr>
            <w:tcW w:w="74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74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Historical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87"/>
        </w:trPr>
        <w:tc>
          <w:tcPr>
            <w:tcW w:w="4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July 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38"/>
        </w:trPr>
        <w:tc>
          <w:tcPr>
            <w:tcW w:w="4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 Days Revenue Outstanding (DSO)</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Days (DIO)</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 (by Geography)</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 (incl. Africa)</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 (by End Market) (1)</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Industrial and Embedded</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AMI</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$M (by End Market) (1)</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Compute and Communications</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171.9</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126.0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 and Embedded</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80.0</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75.1</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AMI</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39.1</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 (by Channel)</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9" w:lineRule="exact"/>
        <w:rPr>
          <w:sz w:val="20"/>
          <w:szCs w:val="20"/>
          <w:color w:val="auto"/>
        </w:rPr>
      </w:pPr>
    </w:p>
    <w:p>
      <w:pPr>
        <w:ind w:left="460" w:right="120" w:hanging="442"/>
        <w:spacing w:after="0" w:line="25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Lattice Semiconductor previously announced that it has updated its disaggregated end market reporting to better reflect how the Company views its business. Effective Q1 2026, Lattice Semiconductor began disaggregating revenue by end market into (i) Compute and Communications and (ii) Industrial and Embedded. Compute and Communications reflects a reordering of the Company's prior Communications and Computing end market, while Industrial and Embedded combines the Company's previously reported Industrial and Automotive, and Consumer end markets. This change represented a presentation-only update and had no impact on the Company’s consolidated financial results. Prior period end market information has been recast to conform to the new presentation to facilitate comparability.</w:t>
      </w:r>
    </w:p>
    <w:p>
      <w:pPr>
        <w:spacing w:after="0" w:line="187" w:lineRule="exact"/>
        <w:rPr>
          <w:rFonts w:ascii="Times New Roman" w:cs="Times New Roman" w:eastAsia="Times New Roman" w:hAnsi="Times New Roman"/>
          <w:sz w:val="18"/>
          <w:szCs w:val="18"/>
          <w:color w:val="auto"/>
        </w:rPr>
      </w:pPr>
    </w:p>
    <w:p>
      <w:pPr>
        <w:ind w:left="4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Lattice completed its acquisition of AMI on July 27, 2026. AMI revenue reflects revenue recognized following the acquisition date and is presented as a separate end market beginning in the third quarter of 2026 to enhance comparability with prior disclosures.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4"/>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July 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38"/>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Reconciliation</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Gross margin</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196,120</w:t>
            </w:r>
          </w:p>
        </w:tc>
        <w:tc>
          <w:tcPr>
            <w:tcW w:w="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141,332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90,527</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gross margin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gross margin (2)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 - gross margin</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6,987</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Gross margin</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206,232</w:t>
            </w:r>
          </w:p>
        </w:tc>
        <w:tc>
          <w:tcPr>
            <w:tcW w:w="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144,212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92,633</w:t>
            </w: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 Reconciliation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Gross margin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gross margin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gross margin (2)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 - gross margin</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Gross margin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 (R&amp;D Expense %) Reconciliation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R&amp;D Expense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R&amp;D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R&amp;D (2)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1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R&amp;D Expense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 (SG&amp;A Expense %) Reconciliation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SG&amp;A Expense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SG&amp;A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SG&amp;A (2)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1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SG&amp;A Expense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32"/>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Reconciliation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Operating expenses</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172,152</w:t>
            </w:r>
          </w:p>
        </w:tc>
        <w:tc>
          <w:tcPr>
            <w:tcW w:w="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118,979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92,061</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Stock-based compensation - operations (1)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(47,910)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(42,220)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(33,998)</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 operations (2)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 - operations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Acquisition related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(25,881)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86,656</w:t>
            </w:r>
          </w:p>
        </w:tc>
        <w:tc>
          <w:tcPr>
            <w:tcW w:w="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6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July 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Reconciliation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23,968</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related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25,881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119,576</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77,102</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38,733</w:t>
            </w: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 Reconciliation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Income from operations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non-GAAP Gross Margin and Operating adjustments</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from operations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Reconciliation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Interest (expense) income, net</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(9,640)</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Bridge facility debt cost amortization</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Interest (expense) income,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Reconciliation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Other (expense) income, net</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Write-off unamortized debt costs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Other (expense) income,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 Reconciliation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Income tax expense</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2,602</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Estimated tax effect of non-GAAP adjustments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changes in net deferred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16"/>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tax law (4)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Income tax expense</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ind w:left="460" w:right="360" w:hanging="442"/>
        <w:spacing w:after="0" w:line="25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increase in our provision for U.S. tax on foreign operations resulting from The 2017 Tax Cuts and Jobs Act and is related to the capitalization and subsequent amortization of R&amp;D costs for tax purposes which was made permanent in the 2025 Tax Act in the third quarter of fiscal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July 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38"/>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Reconciliation</w:t>
            </w: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11,206</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related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Bridge facility debt cost amortization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Write-off unamortized debt costs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Estimated tax effect of non-GAAP adjustments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changes in net deferred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tax law (4)</w:t>
            </w:r>
          </w:p>
        </w:tc>
        <w:tc>
          <w:tcPr>
            <w:tcW w:w="1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28"/>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Net income</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103,664</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74,410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38,157</w:t>
            </w:r>
          </w:p>
        </w:tc>
        <w:tc>
          <w:tcPr>
            <w:tcW w:w="0" w:type="dxa"/>
            <w:vAlign w:val="bottom"/>
          </w:tcPr>
          <w:p>
            <w:pPr>
              <w:spacing w:after="0"/>
              <w:rPr>
                <w:sz w:val="1"/>
                <w:szCs w:val="1"/>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 Reconciliation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per share - basic</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Non-GAAP adjustments</w:t>
            </w:r>
          </w:p>
        </w:tc>
        <w:tc>
          <w:tcPr>
            <w:tcW w:w="1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per share - diluted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Non-GAAP adjustments</w:t>
            </w:r>
          </w:p>
        </w:tc>
        <w:tc>
          <w:tcPr>
            <w:tcW w:w="1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 per share - diluted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used in per share calculations: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136,877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138,103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ind w:left="460" w:right="360" w:hanging="442"/>
        <w:spacing w:after="0" w:line="255"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increase in our provision for U.S. tax on foreign operations resulting from The 2017 Tax Cuts and Jobs Act and is related to the capitalization and subsequent amortization of R&amp;D costs for tax purposes which was made permanent in the 2025 Tax Act in the third quarter of fiscal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July 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38"/>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to Adjusted EBITDA</w:t>
            </w:r>
          </w:p>
        </w:tc>
        <w:tc>
          <w:tcPr>
            <w:tcW w:w="6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11,206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8,734</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35,978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Incentive compensation to be settled in equity (2)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Transformation charges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Legal expenses (3)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Acquisition related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Write-off unamortized debt costs</w:t>
            </w:r>
          </w:p>
        </w:tc>
        <w:tc>
          <w:tcPr>
            <w:tcW w:w="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4,898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131,048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86,366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47,445</w:t>
            </w:r>
          </w:p>
        </w:tc>
        <w:tc>
          <w:tcPr>
            <w:tcW w:w="0" w:type="dxa"/>
            <w:vAlign w:val="bottom"/>
          </w:tcPr>
          <w:p>
            <w:pPr>
              <w:spacing w:after="0"/>
              <w:rPr>
                <w:sz w:val="1"/>
                <w:szCs w:val="1"/>
                <w:color w:val="auto"/>
              </w:rPr>
            </w:pPr>
          </w:p>
        </w:tc>
      </w:tr>
      <w:tr>
        <w:trPr>
          <w:trHeight w:val="234"/>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EBITDA margin</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414"/>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margin to Adjusted EBITDA margin</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income margin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Cumulative effect of EBITDA adjustments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margin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432"/>
        </w:trPr>
        <w:tc>
          <w:tcPr>
            <w:tcW w:w="6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Cash Provided by Operating Activities to Free Cash Flow</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95,037</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88,302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47,100</w:t>
            </w:r>
          </w:p>
        </w:tc>
        <w:tc>
          <w:tcPr>
            <w:tcW w:w="0" w:type="dxa"/>
            <w:vAlign w:val="bottom"/>
          </w:tcPr>
          <w:p>
            <w:pPr>
              <w:spacing w:after="0"/>
              <w:rPr>
                <w:sz w:val="1"/>
                <w:szCs w:val="1"/>
                <w:color w:val="auto"/>
              </w:rPr>
            </w:pPr>
          </w:p>
        </w:tc>
      </w:tr>
      <w:tr>
        <w:trPr>
          <w:trHeight w:val="216"/>
        </w:trPr>
        <w:tc>
          <w:tcPr>
            <w:tcW w:w="558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Operating cash flow margin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35.3%</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Capital expenditures</w:t>
            </w: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(13,074)</w:t>
            </w:r>
          </w:p>
        </w:tc>
        <w:tc>
          <w:tcPr>
            <w:tcW w:w="0" w:type="dxa"/>
            <w:vAlign w:val="bottom"/>
          </w:tcPr>
          <w:p>
            <w:pPr>
              <w:spacing w:after="0"/>
              <w:rPr>
                <w:sz w:val="1"/>
                <w:szCs w:val="1"/>
                <w:color w:val="auto"/>
              </w:rPr>
            </w:pPr>
          </w:p>
        </w:tc>
      </w:tr>
      <w:tr>
        <w:trPr>
          <w:trHeight w:val="20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Free cash flow</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77,623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81,282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34,026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i w:val="1"/>
                <w:iCs w:val="1"/>
                <w:color w:val="auto"/>
              </w:rPr>
              <w:t>Free cash flow margin</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25.5%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4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and related payroll tax expenses.</w:t>
      </w:r>
    </w:p>
    <w:p>
      <w:pPr>
        <w:spacing w:after="0" w:line="27"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accruals for the portion of our annual incentive plan that we intend to settle in equity and related payroll tax expenses.</w:t>
      </w:r>
    </w:p>
    <w:p>
      <w:pPr>
        <w:spacing w:after="0" w:line="9" w:lineRule="exact"/>
        <w:rPr>
          <w:rFonts w:ascii="Times New Roman" w:cs="Times New Roman" w:eastAsia="Times New Roman" w:hAnsi="Times New Roman"/>
          <w:sz w:val="18"/>
          <w:szCs w:val="18"/>
          <w:color w:val="auto"/>
        </w:rPr>
      </w:pPr>
    </w:p>
    <w:p>
      <w:pPr>
        <w:ind w:left="460" w:right="160" w:hanging="442"/>
        <w:spacing w:after="0" w:line="26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expenses outside the ordinary course of business, including those incurred defending against claims brought against the Company by Steven A.W. De Jaray, Perienne De Jaray and Darrell R. Oswalde.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2026-11-02T15:41:06Z</dcterms:created>
  <dcterms:modified xsi:type="dcterms:W3CDTF">2026-11-02T15:41:06Z</dcterms:modified>
</cp:coreProperties>
</file>