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sz w:val="20"/>
        </w:rPr>
      </w:pPr>
      <w:bookmarkStart w:id="0" w:name="lscc20260724_s8.htm"/>
      <w:bookmarkStart w:id="1" w:name="kslscc20260724_s8"/>
      <w:bookmarkEnd w:id="0"/>
      <w:bookmarkEnd w:id="1"/>
      <w:r>
        <w:rPr>
          <w:rFonts w:ascii="Times New Roman;Times;serif" w:hAnsi="Times New Roman;Times;serif"/>
          <w:b/>
          <w:sz w:val="20"/>
        </w:rPr>
        <w:t>As filed with the Securities and Exchange Commission on July</w:t>
      </w:r>
      <w:r>
        <w:rPr>
          <w:rFonts w:ascii="Times New Roman;Times;serif" w:hAnsi="Times New Roman;Times;serif"/>
          <w:sz w:val="20"/>
        </w:rPr>
        <w:t xml:space="preserve"> </w:t>
      </w:r>
      <w:r>
        <w:rPr>
          <w:rFonts w:ascii="Times New Roman;Times;serif" w:hAnsi="Times New Roman;Times;serif"/>
          <w:b/>
          <w:sz w:val="20"/>
        </w:rPr>
        <w:t>27, 2026</w:t>
      </w:r>
      <w:r>
        <w:rPr>
          <w:rFonts w:ascii="Times New Roman;Times;serif" w:hAnsi="Times New Roman;Times;serif"/>
          <w:sz w:val="20"/>
        </w:rPr>
        <w:t xml:space="preserve">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Registration No. 333-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UNITED STATES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SECURITIES AND EXCHANGE COMMISSION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FORM S-8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REGISTRATION STATEMENT </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w:t>
      </w:r>
      <w:r>
        <w:rPr>
          <w:rFonts w:ascii="Times New Roman;Times;serif" w:hAnsi="Times New Roman;Times;serif"/>
          <w:b/>
          <w:i/>
          <w:caps w:val="false"/>
          <w:smallCaps w:val="false"/>
          <w:sz w:val="20"/>
        </w:rPr>
        <w:t xml:space="preserve">NDER </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T</w:t>
      </w:r>
      <w:r>
        <w:rPr>
          <w:rFonts w:ascii="Times New Roman;Times;serif" w:hAnsi="Times New Roman;Times;serif"/>
          <w:b/>
          <w:i/>
          <w:caps w:val="false"/>
          <w:smallCaps w:val="false"/>
          <w:sz w:val="20"/>
        </w:rPr>
        <w:t>HE</w:t>
      </w:r>
      <w:r>
        <w:rPr>
          <w:rFonts w:ascii="Times New Roman;Times;serif" w:hAnsi="Times New Roman;Times;serif"/>
          <w:b/>
          <w:i/>
          <w:sz w:val="20"/>
        </w:rPr>
        <w:t xml:space="preserve"> S</w:t>
      </w:r>
      <w:r>
        <w:rPr>
          <w:rFonts w:ascii="Times New Roman;Times;serif" w:hAnsi="Times New Roman;Times;serif"/>
          <w:b/>
          <w:i/>
          <w:caps w:val="false"/>
          <w:smallCaps w:val="false"/>
          <w:sz w:val="20"/>
        </w:rPr>
        <w:t>ECURITIES</w:t>
      </w:r>
      <w:r>
        <w:rPr>
          <w:rFonts w:ascii="Times New Roman;Times;serif" w:hAnsi="Times New Roman;Times;serif"/>
          <w:b/>
          <w:i/>
          <w:sz w:val="20"/>
        </w:rPr>
        <w:t xml:space="preserve"> A</w:t>
      </w:r>
      <w:r>
        <w:rPr>
          <w:rFonts w:ascii="Times New Roman;Times;serif" w:hAnsi="Times New Roman;Times;serif"/>
          <w:b/>
          <w:i/>
          <w:caps w:val="false"/>
          <w:smallCaps w:val="false"/>
          <w:sz w:val="20"/>
        </w:rPr>
        <w:t>CT</w:t>
      </w:r>
      <w:r>
        <w:rPr>
          <w:rFonts w:ascii="Times New Roman;Times;serif" w:hAnsi="Times New Roman;Times;serif"/>
          <w:b/>
          <w:i/>
          <w:sz w:val="20"/>
        </w:rPr>
        <w:t xml:space="preserve"> </w:t>
      </w:r>
      <w:r>
        <w:rPr>
          <w:rFonts w:ascii="Times New Roman;Times;serif" w:hAnsi="Times New Roman;Times;serif"/>
          <w:b/>
          <w:i/>
          <w:caps w:val="false"/>
          <w:smallCaps w:val="false"/>
          <w:sz w:val="20"/>
        </w:rPr>
        <w:t>OF</w:t>
      </w:r>
      <w:r>
        <w:rPr>
          <w:rFonts w:ascii="Times New Roman;Times;serif" w:hAnsi="Times New Roman;Times;serif"/>
          <w:b/>
          <w:i/>
          <w:sz w:val="20"/>
        </w:rPr>
        <w:t xml:space="preserve"> 1933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LATTICE SEMICONDUCTOR CORPORATION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3835" w:type="dxa"/>
        <w:jc w:val="left"/>
        <w:tblInd w:w="0" w:type="dxa"/>
        <w:tblLayout w:type="fixed"/>
        <w:tblCellMar>
          <w:top w:w="0" w:type="dxa"/>
          <w:left w:w="0" w:type="dxa"/>
          <w:bottom w:w="0" w:type="dxa"/>
          <w:right w:w="0" w:type="dxa"/>
        </w:tblCellMar>
      </w:tblPr>
      <w:tblGrid>
        <w:gridCol w:w="2345"/>
        <w:gridCol w:w="60"/>
        <w:gridCol w:w="1430"/>
      </w:tblGrid>
      <w:tr>
        <w:trPr/>
        <w:tc>
          <w:tcPr>
            <w:tcW w:w="23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93-0835214</w:t>
            </w:r>
          </w:p>
        </w:tc>
      </w:tr>
      <w:tr>
        <w:trPr/>
        <w:tc>
          <w:tcPr>
            <w:tcW w:w="234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5555 NE Moore Court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Hillsboro, OR 97124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(Address of principal executive offices, including zip code)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Inducement Equity Incentive Plan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(Full title of the plan)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Tracy Feanny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Senior Vice President, General Counsel and Corporate Secretary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5555 NE Moore Court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Hillsboro, OR 97124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(650) 810-8823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(Name, address and telephone number, including area code, of agent for service)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 xml:space="preserve">Copy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Tony Jeffries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Amanda Urquiza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Wilson Sonsini Goodrich &amp; Rosati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Professional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650 Page Mill Road</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Palo Alto, California 94304</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Telephone: (650) 493-9300</w:t>
      </w:r>
      <w:r>
        <w:rPr>
          <w:rFonts w:ascii="Times New Roman;Times;serif" w:hAnsi="Times New Roman;Times;serif"/>
          <w:sz w:val="20"/>
        </w:rPr>
        <w:b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2045"/>
        <w:gridCol w:w="2885"/>
      </w:tblGrid>
      <w:tr>
        <w:trPr/>
        <w:tc>
          <w:tcPr>
            <w:tcW w:w="2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4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r>
    </w:tbl>
    <w:p>
      <w:pPr>
        <w:pStyle w:val="TextBody"/>
        <w:bidi w:val="0"/>
        <w:spacing w:before="0" w:after="0"/>
        <w:ind w:left="144" w:right="144"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January 10, 2025, Lattice Semiconductor Corporation, a Delaware corporation (the "Registrant"), filed a Registration Statement on Form S-8 (Registration No. 333-284238) to register 2,000,000 shares of common stock, $0.01 par value, of the Registrant ("Common Stock"), reserved for issuance under the Registrant's 2025 Inducement Equity Incentive Plan (the "Inducement Plan").</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May 4, 2026, the Registrant and certain of its wholly owned subsidiaries entered into an Agreement and Plan of Merger (the "Merger Agreement") with AMI TopCo, Inc. ("AMI") and THL AMI Aggregator, LP (solely in its capacity as the representative of securityholders of AMI). On July 27, 2026, the Registrant completed the acquisition of AMI contemplated by the Merger Agreement (the "Acquisition").</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the Acquisition, the Registrant's Compensation Committee approved an increase to the number of shares of Common Stock reserved for issuance under the Inducement Plan by 625,967 shares (the "Share Reserve Increase"), bringing the total number of shares reserved for issuance under the Inducement Plan from 2,000,000 shares to 2,625,967 shares. This Registration Statement on Form S-8 is being filed to register the 625,967 additional shares of Common Stock subject to the Share Reserve Increase. The shares registered hereunder are issuable as inducement awards to individuals who were not previously employees of the Registrant and who are commencing employment with the Registrant in connection with the Acquisition, in accordance with, and subject to the terms and conditions of, Nasdaq Listing Rule 5635(c)(4).</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Pursuant to Rule 416(a) promulgated under the Securities Act of 1933, as amended (the "Securities Act"), this Registration Statement shall also cover any additional shares of Common Stock that become issuable by reason of any stock dividend, stock split, recapitalization or other similar transaction that results in an increase in the number of outstanding shares of Common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Part i</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INFORMATION REQUIRED IN THE PROSPECTUS</w:t>
      </w:r>
    </w:p>
    <w:p>
      <w:pPr>
        <w:pStyle w:val="TextBody"/>
        <w:bidi w:val="0"/>
        <w:spacing w:before="0" w:after="0"/>
        <w:ind w:left="0" w:right="0" w:hanging="0"/>
        <w:jc w:val="center"/>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PART II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INFORMATION REQUIRED IN</w:t>
      </w:r>
      <w:r>
        <w:rPr>
          <w:rFonts w:ascii="Times New Roman;Times;serif" w:hAnsi="Times New Roman;Times;serif"/>
          <w:b/>
          <w:caps/>
          <w:sz w:val="20"/>
        </w:rPr>
        <w:t xml:space="preserve"> the </w:t>
      </w:r>
      <w:r>
        <w:rPr>
          <w:rFonts w:ascii="Times New Roman;Times;serif" w:hAnsi="Times New Roman;Times;serif"/>
          <w:b/>
          <w:sz w:val="20"/>
        </w:rPr>
        <w:t xml:space="preserve">REGISTRATION STATEMENT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3. </w:t>
      </w:r>
      <w:r>
        <w:rPr>
          <w:rFonts w:ascii="Times New Roman;Times;serif" w:hAnsi="Times New Roman;Times;serif"/>
          <w:b/>
          <w:sz w:val="20"/>
          <w:u w:val="single"/>
        </w:rPr>
        <w:t>Incorporation</w:t>
      </w:r>
      <w:r>
        <w:rPr>
          <w:rFonts w:ascii="Times New Roman;Times;serif" w:hAnsi="Times New Roman;Times;serif"/>
          <w:sz w:val="20"/>
          <w:u w:val="single"/>
        </w:rPr>
        <w:t xml:space="preserve"> </w:t>
      </w:r>
      <w:r>
        <w:rPr>
          <w:rFonts w:ascii="Times New Roman;Times;serif" w:hAnsi="Times New Roman;Times;serif"/>
          <w:b/>
          <w:sz w:val="20"/>
          <w:u w:val="single"/>
        </w:rPr>
        <w:t>of</w:t>
      </w:r>
      <w:r>
        <w:rPr>
          <w:rFonts w:ascii="Times New Roman;Times;serif" w:hAnsi="Times New Roman;Times;serif"/>
          <w:sz w:val="20"/>
          <w:u w:val="single"/>
        </w:rPr>
        <w:t xml:space="preserve"> </w:t>
      </w:r>
      <w:r>
        <w:rPr>
          <w:rFonts w:ascii="Times New Roman;Times;serif" w:hAnsi="Times New Roman;Times;serif"/>
          <w:b/>
          <w:sz w:val="20"/>
          <w:u w:val="single"/>
        </w:rPr>
        <w:t>Documents</w:t>
      </w:r>
      <w:r>
        <w:rPr>
          <w:rFonts w:ascii="Times New Roman;Times;serif" w:hAnsi="Times New Roman;Times;serif"/>
          <w:sz w:val="20"/>
          <w:u w:val="single"/>
        </w:rPr>
        <w:t xml:space="preserve"> </w:t>
      </w:r>
      <w:r>
        <w:rPr>
          <w:rFonts w:ascii="Times New Roman;Times;serif" w:hAnsi="Times New Roman;Times;serif"/>
          <w:b/>
          <w:sz w:val="20"/>
          <w:u w:val="single"/>
        </w:rPr>
        <w:t>by</w:t>
      </w:r>
      <w:r>
        <w:rPr>
          <w:rFonts w:ascii="Times New Roman;Times;serif" w:hAnsi="Times New Roman;Times;serif"/>
          <w:sz w:val="20"/>
          <w:u w:val="single"/>
        </w:rPr>
        <w:t xml:space="preserve"> </w:t>
      </w:r>
      <w:r>
        <w:rPr>
          <w:rFonts w:ascii="Times New Roman;Times;serif" w:hAnsi="Times New Roman;Times;serif"/>
          <w:b/>
          <w:sz w:val="20"/>
          <w:u w:val="single"/>
        </w:rPr>
        <w:t>Reference</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Registrant hereby incorporates by reference into this Registration Statement the following documents previously filed with the Securities and Exchange Commission (the “Commission”):</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Times;serif" w:hAnsi="Times New Roman;Times;serif"/>
          <w:sz w:val="20"/>
        </w:rPr>
        <w:t xml:space="preserve">(1) The Registrant’s </w:t>
      </w:r>
      <w:hyperlink r:id="rId2">
        <w:r>
          <w:rPr>
            <w:rStyle w:val="InternetLink"/>
            <w:rFonts w:ascii="Times New Roman;Times;serif" w:hAnsi="Times New Roman;Times;serif"/>
            <w:sz w:val="20"/>
          </w:rPr>
          <w:t>Annual Report on Form 10-K for the fiscal year ended January 3, 2026, filed with the Commission on February 13, 2026</w:t>
        </w:r>
      </w:hyperlink>
      <w:r>
        <w:rPr>
          <w:rFonts w:ascii="Times New Roman;Times;serif" w:hAnsi="Times New Roman;Times;serif"/>
          <w:sz w:val="20"/>
        </w:rPr>
        <w:t> (the “Annual Report”);</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(2) All other reports filed with the Commission pursuant to Section 13(a) or 15(d) of the Securities Exchange Act of 1934, as amended (the “Exchange Act”), since the end of the fiscal year covered by the Annual Report; and</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Times;serif" w:hAnsi="Times New Roman;Times;serif"/>
          <w:sz w:val="20"/>
        </w:rPr>
        <w:t xml:space="preserve">(3) The description of the Registrant’s Common Stock contained in the </w:t>
      </w:r>
      <w:hyperlink r:id="rId3">
        <w:r>
          <w:rPr>
            <w:rStyle w:val="InternetLink"/>
            <w:rFonts w:ascii="Times New Roman;Times;serif" w:hAnsi="Times New Roman;Times;serif"/>
            <w:sz w:val="20"/>
          </w:rPr>
          <w:t>Description of Securities filed as Exhibit 4.1 to the Annual Report</w:t>
        </w:r>
      </w:hyperlink>
      <w:r>
        <w:rPr>
          <w:rFonts w:ascii="Times New Roman;Times;serif" w:hAnsi="Times New Roman;Times;serif"/>
          <w:sz w:val="20"/>
        </w:rPr>
        <w:t>, including any amendment or report filed for the purpose of updating such description.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reports and other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4. </w:t>
      </w:r>
      <w:r>
        <w:rPr>
          <w:rFonts w:ascii="Times New Roman;Times;serif" w:hAnsi="Times New Roman;Times;serif"/>
          <w:b/>
          <w:sz w:val="20"/>
          <w:u w:val="single"/>
        </w:rPr>
        <w:t>Description of Securities</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5. </w:t>
      </w:r>
      <w:r>
        <w:rPr>
          <w:rFonts w:ascii="Times New Roman;Times;serif" w:hAnsi="Times New Roman;Times;serif"/>
          <w:b/>
          <w:sz w:val="20"/>
          <w:u w:val="single"/>
        </w:rPr>
        <w:t>Interests</w:t>
      </w:r>
      <w:r>
        <w:rPr>
          <w:rFonts w:ascii="Times New Roman;Times;serif" w:hAnsi="Times New Roman;Times;serif"/>
          <w:sz w:val="20"/>
          <w:u w:val="single"/>
        </w:rPr>
        <w:t xml:space="preserve"> </w:t>
      </w:r>
      <w:r>
        <w:rPr>
          <w:rFonts w:ascii="Times New Roman;Times;serif" w:hAnsi="Times New Roman;Times;serif"/>
          <w:b/>
          <w:sz w:val="20"/>
          <w:u w:val="single"/>
        </w:rPr>
        <w:t>of</w:t>
      </w:r>
      <w:r>
        <w:rPr>
          <w:rFonts w:ascii="Times New Roman;Times;serif" w:hAnsi="Times New Roman;Times;serif"/>
          <w:sz w:val="20"/>
          <w:u w:val="single"/>
        </w:rPr>
        <w:t xml:space="preserve"> </w:t>
      </w:r>
      <w:r>
        <w:rPr>
          <w:rFonts w:ascii="Times New Roman;Times;serif" w:hAnsi="Times New Roman;Times;serif"/>
          <w:b/>
          <w:sz w:val="20"/>
          <w:u w:val="single"/>
        </w:rPr>
        <w:t>Named</w:t>
      </w:r>
      <w:r>
        <w:rPr>
          <w:rFonts w:ascii="Times New Roman;Times;serif" w:hAnsi="Times New Roman;Times;serif"/>
          <w:sz w:val="20"/>
          <w:u w:val="single"/>
        </w:rPr>
        <w:t xml:space="preserve"> </w:t>
      </w:r>
      <w:r>
        <w:rPr>
          <w:rFonts w:ascii="Times New Roman;Times;serif" w:hAnsi="Times New Roman;Times;serif"/>
          <w:b/>
          <w:sz w:val="20"/>
          <w:u w:val="single"/>
        </w:rPr>
        <w:t>Experts</w:t>
      </w:r>
      <w:r>
        <w:rPr>
          <w:rFonts w:ascii="Times New Roman;Times;serif" w:hAnsi="Times New Roman;Times;serif"/>
          <w:sz w:val="20"/>
          <w:u w:val="single"/>
        </w:rPr>
        <w:t xml:space="preserve"> </w:t>
      </w:r>
      <w:r>
        <w:rPr>
          <w:rFonts w:ascii="Times New Roman;Times;serif" w:hAnsi="Times New Roman;Times;serif"/>
          <w:b/>
          <w:sz w:val="20"/>
          <w:u w:val="single"/>
        </w:rPr>
        <w:t>and</w:t>
      </w:r>
      <w:r>
        <w:rPr>
          <w:rFonts w:ascii="Times New Roman;Times;serif" w:hAnsi="Times New Roman;Times;serif"/>
          <w:sz w:val="20"/>
          <w:u w:val="single"/>
        </w:rPr>
        <w:t xml:space="preserve"> </w:t>
      </w:r>
      <w:r>
        <w:rPr>
          <w:rFonts w:ascii="Times New Roman;Times;serif" w:hAnsi="Times New Roman;Times;serif"/>
          <w:b/>
          <w:sz w:val="20"/>
          <w:u w:val="single"/>
        </w:rPr>
        <w:t>Counsel</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6. </w:t>
      </w:r>
      <w:r>
        <w:rPr>
          <w:rFonts w:ascii="Times New Roman;Times;serif" w:hAnsi="Times New Roman;Times;serif"/>
          <w:b/>
          <w:sz w:val="20"/>
          <w:u w:val="single"/>
        </w:rPr>
        <w:t>Indemnification</w:t>
      </w:r>
      <w:r>
        <w:rPr>
          <w:rFonts w:ascii="Times New Roman;Times;serif" w:hAnsi="Times New Roman;Times;serif"/>
          <w:sz w:val="20"/>
          <w:u w:val="single"/>
        </w:rPr>
        <w:t xml:space="preserve"> </w:t>
      </w:r>
      <w:r>
        <w:rPr>
          <w:rFonts w:ascii="Times New Roman;Times;serif" w:hAnsi="Times New Roman;Times;serif"/>
          <w:b/>
          <w:sz w:val="20"/>
          <w:u w:val="single"/>
        </w:rPr>
        <w:t>of</w:t>
      </w:r>
      <w:r>
        <w:rPr>
          <w:rFonts w:ascii="Times New Roman;Times;serif" w:hAnsi="Times New Roman;Times;serif"/>
          <w:sz w:val="20"/>
          <w:u w:val="single"/>
        </w:rPr>
        <w:t xml:space="preserve"> </w:t>
      </w:r>
      <w:r>
        <w:rPr>
          <w:rFonts w:ascii="Times New Roman;Times;serif" w:hAnsi="Times New Roman;Times;serif"/>
          <w:b/>
          <w:sz w:val="20"/>
          <w:u w:val="single"/>
        </w:rPr>
        <w:t>Directors</w:t>
      </w:r>
      <w:r>
        <w:rPr>
          <w:rFonts w:ascii="Times New Roman;Times;serif" w:hAnsi="Times New Roman;Times;serif"/>
          <w:sz w:val="20"/>
          <w:u w:val="single"/>
        </w:rPr>
        <w:t xml:space="preserve"> </w:t>
      </w:r>
      <w:r>
        <w:rPr>
          <w:rFonts w:ascii="Times New Roman;Times;serif" w:hAnsi="Times New Roman;Times;serif"/>
          <w:b/>
          <w:sz w:val="20"/>
          <w:u w:val="single"/>
        </w:rPr>
        <w:t>and</w:t>
      </w:r>
      <w:r>
        <w:rPr>
          <w:rFonts w:ascii="Times New Roman;Times;serif" w:hAnsi="Times New Roman;Times;serif"/>
          <w:sz w:val="20"/>
          <w:u w:val="single"/>
        </w:rPr>
        <w:t xml:space="preserve"> </w:t>
      </w:r>
      <w:r>
        <w:rPr>
          <w:rFonts w:ascii="Times New Roman;Times;serif" w:hAnsi="Times New Roman;Times;serif"/>
          <w:b/>
          <w:sz w:val="20"/>
          <w:u w:val="single"/>
        </w:rPr>
        <w:t>Officers</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Section 145 of the General Corporation Law of the State of Delaware (the “DGCL”) provides that a corporation may indemnify directors and officers as well as other employees and agents against expenses (including attorneys’ fees), judgments, fines and amounts paid in settlement actually and reasonably incurred in connection with specified actions, suits or proceedings, whether civil, criminal, administrative or investigative (other than an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and the statute requires a court determination that the person is fairly and reasonably entitled to indemnity for such expenses before there can be any indemnification where the person seeking indemnification has been found liable to the corporation. The statute provides that it is not exclusive of other indemnification that may be granted by a corporation’s charter, bylaws, disinterested director vote, stockholder vote, agreement or otherwise.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(1) with respect to a director or officer, for any breach of the director’s or officer’s duty of loyalty to the corporation or its stockholders, (2) with respect to a director or officer, for acts or omissions not in good faith or which involve intentional misconduct or a knowing violation of law, (3) with respect to a director or officer, for payments of unlawful dividends or unlawful stock repurchases or redemptions, (4) with respect to a director or officer, for any transaction from which the director or officer derived an improper personal benefit, or (5) with respect to an officer, in any action by or in the right of the corporation.</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Section 174 of the DGCL provides, among other things, that a director who willfully or negligently approves an unlawful payment of dividends or an unlawful stock repurchase or redemption may be held liable, at any time within 6 years after paying the unlawful dividend or after the unlawful stock repurchase or redemption,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w:t>
      </w:r>
    </w:p>
    <w:p>
      <w:pPr>
        <w:pStyle w:val="TextBody"/>
        <w:bidi w:val="0"/>
        <w:spacing w:before="0" w:after="0"/>
        <w:ind w:left="0" w:right="0" w:firstLine="36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Registrant’s Restated Certificate of Incorporation limits, to the maximum extent permitted by the DGCL, the personal liability of directors for monetary damages for their conduct as a director. The Registrant’s Bylaws, as amended and restated (the “Bylaws”), provide that the Registrant (1) shall indemnify its directors and individuals serving at the request of the Registrant as directors of another corporation, partnership, joint venture, trust or other enterprise (including service with respect to employee benefit plans maintained or sponsored by the Registrant) and (2) may indemnify its officers, employees and other agents, in each case, to the fullest extent permitted by law against expenses, liabilities and loss, including attorneys’ fees, judgments, fines, ERISA excise taxes or penalties and amounts paid in settlement, reasonably incurred or suffered in connection with any proceeding arising out of their status as directors, officers, employees or agents, as applicable. The Bylaws also allow the Registrant to purchase and maintain insurance on behalf of any person who is or was one of the Registrant’s directors, officers, employees or agents against any expense, liability or loss, whether or not the Registrant would have the power to indemnify such person against such liability under the provisions of the DGCL.</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Registrant has also entered into indemnification agreements with directors, officers and certain employees, under which, among other things, the Registrant has agreed to indemnify the Registrant’s directors, officers and certain employees, subject to certain conditions and limitations, for certain amounts, including attorneys’ fees, judgments, fines, penalties, settlement amounts and any other amounts reasonably incurred or suffered by any such person in any threatened, pending or completed action, suit or proceeding, whether civil, criminal, administrative or investigative, including any action by or in the right of the Registrant, to which such person is, was or at any time becomes a party, or is threatened to be made a party, by reason of the fact that such person is, was or at any time becomes a director, officer, employee or agent of the Registrant or of any other company or enterprise with respect to which the person served in such capacity at the request of the Registrant.</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Registrant has and expects to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7. </w:t>
      </w:r>
      <w:r>
        <w:rPr>
          <w:rFonts w:ascii="Times New Roman;Times;serif" w:hAnsi="Times New Roman;Times;serif"/>
          <w:b/>
          <w:sz w:val="20"/>
          <w:u w:val="single"/>
        </w:rPr>
        <w:t>Exemption</w:t>
      </w:r>
      <w:r>
        <w:rPr>
          <w:rFonts w:ascii="Times New Roman;Times;serif" w:hAnsi="Times New Roman;Times;serif"/>
          <w:sz w:val="20"/>
          <w:u w:val="single"/>
        </w:rPr>
        <w:t xml:space="preserve"> </w:t>
      </w:r>
      <w:r>
        <w:rPr>
          <w:rFonts w:ascii="Times New Roman;Times;serif" w:hAnsi="Times New Roman;Times;serif"/>
          <w:b/>
          <w:sz w:val="20"/>
          <w:u w:val="single"/>
        </w:rPr>
        <w:t>from</w:t>
      </w:r>
      <w:r>
        <w:rPr>
          <w:rFonts w:ascii="Times New Roman;Times;serif" w:hAnsi="Times New Roman;Times;serif"/>
          <w:sz w:val="20"/>
          <w:u w:val="single"/>
        </w:rPr>
        <w:t xml:space="preserve"> </w:t>
      </w:r>
      <w:r>
        <w:rPr>
          <w:rFonts w:ascii="Times New Roman;Times;serif" w:hAnsi="Times New Roman;Times;serif"/>
          <w:b/>
          <w:sz w:val="20"/>
          <w:u w:val="single"/>
        </w:rPr>
        <w:t>Registration</w:t>
      </w:r>
      <w:r>
        <w:rPr>
          <w:rFonts w:ascii="Times New Roman;Times;serif" w:hAnsi="Times New Roman;Times;serif"/>
          <w:sz w:val="20"/>
          <w:u w:val="single"/>
        </w:rPr>
        <w:t xml:space="preserve"> </w:t>
      </w:r>
      <w:r>
        <w:rPr>
          <w:rFonts w:ascii="Times New Roman;Times;serif" w:hAnsi="Times New Roman;Times;serif"/>
          <w:b/>
          <w:sz w:val="20"/>
          <w:u w:val="single"/>
        </w:rPr>
        <w:t>Claimed</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8. </w:t>
      </w:r>
      <w:r>
        <w:rPr>
          <w:rFonts w:ascii="Times New Roman;Times;serif" w:hAnsi="Times New Roman;Times;serif"/>
          <w:b/>
          <w:sz w:val="20"/>
          <w:u w:val="single"/>
        </w:rPr>
        <w:t>Exhibits</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exhibits are filed herewith as part of this Registration Statement:</w:t>
      </w:r>
    </w:p>
    <w:p>
      <w:pPr>
        <w:pStyle w:val="TextBody"/>
        <w:bidi w:val="0"/>
        <w:spacing w:before="0" w:after="0"/>
        <w:ind w:left="0" w:right="0" w:firstLine="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965"/>
        <w:gridCol w:w="60"/>
        <w:gridCol w:w="9120"/>
      </w:tblGrid>
      <w:tr>
        <w:trPr/>
        <w:tc>
          <w:tcPr>
            <w:tcW w:w="60" w:type="dxa"/>
            <w:tcBorders/>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center"/>
              <w:rPr>
                <w:b/>
              </w:rPr>
            </w:pPr>
            <w:r>
              <w:rPr>
                <w:b/>
              </w:rPr>
              <w:t>Exhibit No.</w:t>
            </w:r>
          </w:p>
        </w:tc>
        <w:tc>
          <w:tcPr>
            <w:tcW w:w="60" w:type="dxa"/>
            <w:tcBorders/>
            <w:vAlign w:val="center"/>
          </w:tcPr>
          <w:p>
            <w:pPr>
              <w:pStyle w:val="TableContents"/>
              <w:bidi w:val="0"/>
              <w:spacing w:before="0" w:after="283"/>
              <w:jc w:val="left"/>
              <w:rPr/>
            </w:pPr>
            <w:r>
              <w:rPr/>
              <w:t> </w:t>
            </w:r>
          </w:p>
        </w:tc>
        <w:tc>
          <w:tcPr>
            <w:tcW w:w="9120" w:type="dxa"/>
            <w:tcBorders>
              <w:bottom w:val="single" w:sz="2" w:space="0" w:color="000000"/>
            </w:tcBorders>
            <w:tcMar>
              <w:bottom w:w="28" w:type="dxa"/>
            </w:tcMar>
            <w:vAlign w:val="center"/>
          </w:tcPr>
          <w:p>
            <w:pPr>
              <w:pStyle w:val="TableContents"/>
              <w:bidi w:val="0"/>
              <w:spacing w:before="0" w:after="283"/>
              <w:jc w:val="left"/>
              <w:rPr>
                <w:b/>
              </w:rPr>
            </w:pPr>
            <w:r>
              <w:rPr>
                <w:b/>
              </w:rPr>
              <w:t>Exhibit Description</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4.1</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0"/>
              <w:jc w:val="left"/>
              <w:rPr/>
            </w:pPr>
            <w:hyperlink r:id="rId4">
              <w:r>
                <w:rPr>
                  <w:rStyle w:val="InternetLink"/>
                  <w:rFonts w:ascii="Times New Roman;Times;serif" w:hAnsi="Times New Roman;Times;serif"/>
                  <w:sz w:val="20"/>
                </w:rPr>
                <w:t>Amended and Restated 2025 Inducement Equity Incentive Plan (Incorporated by reference to Exhibit 10.1 filed with the Registrant’s Current Report on Form 8-K, filed with the Commission on July 27, 2026).</w:t>
              </w:r>
            </w:hyperlink>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5.1</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0"/>
              <w:jc w:val="left"/>
              <w:rPr/>
            </w:pPr>
            <w:hyperlink w:anchor="ex_992854.htm">
              <w:r>
                <w:rPr>
                  <w:rStyle w:val="InternetLink"/>
                  <w:rFonts w:ascii="Times New Roman;Times;serif" w:hAnsi="Times New Roman;Times;serif"/>
                  <w:sz w:val="20"/>
                </w:rPr>
                <w:t>Opinion of Wilson Sonsini Goodrich &amp; Rosati, Professional Corporation.</w:t>
              </w:r>
            </w:hyperlink>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23.1</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0"/>
              <w:jc w:val="left"/>
              <w:rPr/>
            </w:pPr>
            <w:hyperlink w:anchor="ex_992855.htm">
              <w:r>
                <w:rPr>
                  <w:rStyle w:val="InternetLink"/>
                  <w:rFonts w:ascii="Times New Roman;Times;serif" w:hAnsi="Times New Roman;Times;serif"/>
                  <w:sz w:val="20"/>
                </w:rPr>
                <w:t>Consent of Ernst &amp; Young LLP, Independent Registered Public Accounting Firm.</w:t>
              </w:r>
            </w:hyperlink>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23.2</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0"/>
              <w:jc w:val="left"/>
              <w:rPr/>
            </w:pPr>
            <w:hyperlink w:anchor="ex_992854.htm">
              <w:r>
                <w:rPr>
                  <w:rStyle w:val="InternetLink"/>
                  <w:rFonts w:ascii="Times New Roman;Times;serif" w:hAnsi="Times New Roman;Times;serif"/>
                  <w:sz w:val="20"/>
                </w:rPr>
                <w:t>Consent of Wilson Sonsini Goodrich &amp; Rosati, Professional Corporation (included in Exhibit 5.1).</w:t>
              </w:r>
            </w:hyperlink>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24.1</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0"/>
              <w:jc w:val="left"/>
              <w:rPr/>
            </w:pPr>
            <w:hyperlink w:anchor="signaturespoa">
              <w:r>
                <w:rPr>
                  <w:rStyle w:val="InternetLink"/>
                  <w:rFonts w:ascii="Times New Roman;Times;serif" w:hAnsi="Times New Roman;Times;serif"/>
                  <w:sz w:val="20"/>
                </w:rPr>
                <w:t>Power of Attorney (included on the signature page).</w:t>
              </w:r>
            </w:hyperlink>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107</w:t>
            </w:r>
          </w:p>
        </w:tc>
        <w:tc>
          <w:tcPr>
            <w:tcW w:w="60" w:type="dxa"/>
            <w:tcBorders/>
            <w:vAlign w:val="center"/>
          </w:tcPr>
          <w:p>
            <w:pPr>
              <w:pStyle w:val="TableContents"/>
              <w:bidi w:val="0"/>
              <w:spacing w:before="0" w:after="283"/>
              <w:jc w:val="left"/>
              <w:rPr/>
            </w:pPr>
            <w:r>
              <w:rPr/>
              <w:t> </w:t>
            </w:r>
          </w:p>
        </w:tc>
        <w:tc>
          <w:tcPr>
            <w:tcW w:w="9120" w:type="dxa"/>
            <w:tcBorders/>
            <w:vAlign w:val="center"/>
          </w:tcPr>
          <w:p>
            <w:pPr>
              <w:pStyle w:val="TableContents"/>
              <w:bidi w:val="0"/>
              <w:spacing w:before="0" w:after="283"/>
              <w:jc w:val="left"/>
              <w:rPr/>
            </w:pPr>
            <w:hyperlink w:anchor="ex_992856.htm">
              <w:r>
                <w:rPr>
                  <w:rStyle w:val="InternetLink"/>
                </w:rPr>
                <w:t>Filing Fee Table</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9. </w:t>
      </w:r>
      <w:r>
        <w:rPr>
          <w:rFonts w:ascii="Times New Roman;Times;serif" w:hAnsi="Times New Roman;Times;serif"/>
          <w:b/>
          <w:sz w:val="20"/>
          <w:u w:val="single"/>
        </w:rPr>
        <w:t>Undertakings</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The undersigned Registrant hereby undertakes:</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To file, during any period in which offers or sales are being made, a post-effective amendment to this Registration Statement:</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 To include any prospectus required by Section 10(a)(3) of the Securities Act;</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bona fide</w:t>
      </w:r>
      <w:r>
        <w:rPr>
          <w:rFonts w:ascii="Times New Roman;Times;serif" w:hAnsi="Times New Roman;Times;serif"/>
          <w:sz w:val="20"/>
        </w:rPr>
        <w:t xml:space="preserve"> offering thereof.</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 w:name="signaturespoa"/>
      <w:bookmarkEnd w:id="2"/>
      <w:r>
        <w:rPr>
          <w:rFonts w:ascii="Times New Roman;Times;serif" w:hAnsi="Times New Roman;Times;serif"/>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Sunnyvale, State of California, on this 27th day of July, 2026.</w:t>
      </w:r>
    </w:p>
    <w:tbl>
      <w:tblPr>
        <w:tblW w:w="3949" w:type="dxa"/>
        <w:jc w:val="left"/>
        <w:tblInd w:w="0" w:type="dxa"/>
        <w:tblLayout w:type="fixed"/>
        <w:tblCellMar>
          <w:top w:w="0" w:type="dxa"/>
          <w:left w:w="0" w:type="dxa"/>
          <w:bottom w:w="0" w:type="dxa"/>
          <w:right w:w="0" w:type="dxa"/>
        </w:tblCellMar>
      </w:tblPr>
      <w:tblGrid>
        <w:gridCol w:w="1315"/>
        <w:gridCol w:w="1315"/>
        <w:gridCol w:w="1319"/>
      </w:tblGrid>
      <w:tr>
        <w:trPr/>
        <w:tc>
          <w:tcPr>
            <w:tcW w:w="13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left"/>
              <w:rPr/>
            </w:pPr>
            <w:r>
              <w:rPr/>
              <w:t> </w:t>
            </w:r>
          </w:p>
        </w:tc>
      </w:tr>
      <w:tr>
        <w:trPr/>
        <w:tc>
          <w:tcPr>
            <w:tcW w:w="3949" w:type="dxa"/>
            <w:gridSpan w:val="3"/>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Lattice Semiconductor Corporation</w:t>
            </w:r>
          </w:p>
        </w:tc>
      </w:tr>
    </w:tbl>
    <w:p>
      <w:pPr>
        <w:pStyle w:val="TextBody"/>
        <w:bidi w:val="0"/>
        <w:spacing w:before="0" w:after="283"/>
        <w:jc w:val="left"/>
        <w:rPr/>
      </w:pPr>
      <w:r>
        <w:rPr/>
        <w:t> </w:t>
      </w:r>
    </w:p>
    <w:tbl>
      <w:tblPr>
        <w:tblW w:w="4570" w:type="dxa"/>
        <w:jc w:val="left"/>
        <w:tblInd w:w="0" w:type="dxa"/>
        <w:tblLayout w:type="fixed"/>
        <w:tblCellMar>
          <w:top w:w="0" w:type="dxa"/>
          <w:left w:w="0" w:type="dxa"/>
          <w:bottom w:w="0" w:type="dxa"/>
          <w:right w:w="0" w:type="dxa"/>
        </w:tblCellMar>
      </w:tblPr>
      <w:tblGrid>
        <w:gridCol w:w="320"/>
        <w:gridCol w:w="60"/>
        <w:gridCol w:w="4190"/>
      </w:tblGrid>
      <w:tr>
        <w:trPr/>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/s/ Tracy Feanny</w:t>
            </w:r>
          </w:p>
        </w:tc>
      </w:tr>
      <w:tr>
        <w:trPr/>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 w:type="dxa"/>
            <w:tcBorders/>
            <w:vAlign w:val="center"/>
          </w:tcPr>
          <w:p>
            <w:pPr>
              <w:pStyle w:val="TableContents"/>
              <w:bidi w:val="0"/>
              <w:spacing w:before="0" w:after="283"/>
              <w:jc w:val="left"/>
              <w:rPr/>
            </w:pPr>
            <w:r>
              <w:rPr/>
              <w:t> </w:t>
            </w:r>
          </w:p>
        </w:tc>
        <w:tc>
          <w:tcPr>
            <w:tcW w:w="419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Tracy Feanny</w:t>
            </w:r>
          </w:p>
        </w:tc>
      </w:tr>
      <w:tr>
        <w:trPr/>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General Counsel &amp; Secretary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POWER OF ATTORNEY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KNOW ALL PERSONS BY THESE PRESENT, that each person whose signature appears below hereby constitutes and appoints Ford Tamer, Lorenzo A. Flores, and Tracy Feanny, and each of them, as his or her true and lawful attorney-in-fact and agent with full power of substitution and resubstitution, for him or her and in his or her name, place and stead, in any and all capacities, to sign any and all amendments to this Registration Statement on Form S-8, and to file the same, with all exhibits thereto and all other documents in connection therewith, with the Commission, granting unto each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each said attorney-in-fact and agent, or his or her substitute, may lawfully do or cause to be done by virtue hereof.</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Act, this Registration Statement has been signed below by the following persons in the capacities and on the dates indicated.</w:t>
      </w:r>
    </w:p>
    <w:tbl>
      <w:tblPr>
        <w:tblW w:w="7695" w:type="dxa"/>
        <w:jc w:val="left"/>
        <w:tblInd w:w="0" w:type="dxa"/>
        <w:tblLayout w:type="fixed"/>
        <w:tblCellMar>
          <w:top w:w="0" w:type="dxa"/>
          <w:left w:w="0" w:type="dxa"/>
          <w:bottom w:w="0" w:type="dxa"/>
          <w:right w:w="0" w:type="dxa"/>
        </w:tblCellMar>
      </w:tblPr>
      <w:tblGrid>
        <w:gridCol w:w="60"/>
        <w:gridCol w:w="2375"/>
        <w:gridCol w:w="60"/>
        <w:gridCol w:w="3830"/>
        <w:gridCol w:w="60"/>
        <w:gridCol w:w="1310"/>
      </w:tblGrid>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vAlign w:val="center"/>
          </w:tcPr>
          <w:p>
            <w:pPr>
              <w:pStyle w:val="TableContents"/>
              <w:bidi w:val="0"/>
              <w:spacing w:before="0" w:after="283"/>
              <w:jc w:val="left"/>
              <w:rPr/>
            </w:pPr>
            <w:r>
              <w:rPr/>
              <w:t> </w:t>
            </w:r>
          </w:p>
        </w:tc>
        <w:tc>
          <w:tcPr>
            <w:tcW w:w="38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60" w:type="dxa"/>
            <w:tcBorders/>
            <w:vAlign w:val="center"/>
          </w:tcPr>
          <w:p>
            <w:pPr>
              <w:pStyle w:val="TableContents"/>
              <w:bidi w:val="0"/>
              <w:spacing w:before="0" w:after="283"/>
              <w:jc w:val="left"/>
              <w:rPr/>
            </w:pPr>
            <w:r>
              <w:rPr/>
              <w:t> </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Ford Tamer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Ford Tamer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Lorenzo A. Flores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Lorenzo A. Flores</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Bettinger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Bettinger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Que Thanh Dallara</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Que Thanh Dallara</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Forsyth</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Forsyth</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Mark E. Jensen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left"/>
              <w:rPr/>
            </w:pPr>
            <w:r>
              <w:rPr/>
              <w:t>Mark E. Jensen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James P. Lederer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James P. Lederer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D. Jeffrey Richardson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D. Jeffrey Richardson</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3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75" w:type="dxa"/>
            <w:tcBorders>
              <w:bottom w:val="single" w:sz="2" w:space="0" w:color="000000"/>
            </w:tcBorders>
            <w:tcMar>
              <w:bottom w:w="28" w:type="dxa"/>
            </w:tcMar>
            <w:vAlign w:val="center"/>
          </w:tcPr>
          <w:p>
            <w:pPr>
              <w:pStyle w:val="TableContents"/>
              <w:bidi w:val="0"/>
              <w:spacing w:before="0" w:after="283"/>
              <w:jc w:val="left"/>
              <w:rPr/>
            </w:pPr>
            <w:r>
              <w:rPr/>
              <w:t>/s/ Elizabeth Schwarting</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July 27, 2026</w:t>
            </w:r>
          </w:p>
        </w:tc>
      </w:tr>
      <w:tr>
        <w:trPr/>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Elizabeth Schwarting</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spacing w:before="0" w:after="0"/>
        <w:ind w:left="0" w:right="0" w:hanging="0"/>
        <w:jc w:val="right"/>
        <w:rPr>
          <w:rFonts w:ascii="Times New Roman" w:hAnsi="Times New Roman"/>
          <w:b/>
          <w:sz w:val="20"/>
        </w:rPr>
      </w:pPr>
      <w:bookmarkStart w:id="3" w:name="ex_992854.htm"/>
      <w:bookmarkStart w:id="4" w:name="ksex_992854"/>
      <w:bookmarkEnd w:id="3"/>
      <w:bookmarkEnd w:id="4"/>
      <w:r>
        <w:rPr>
          <w:rFonts w:ascii="Times New Roman" w:hAnsi="Times New Roman"/>
          <w:b/>
          <w:sz w:val="20"/>
        </w:rPr>
        <w:t>Exhibit 5.1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62674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6267450" cy="10858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OPINION OF WILSON SONSINI GOODRICH &amp; ROSATI, PROFESSIONAL CORPORATION</w:t>
      </w:r>
    </w:p>
    <w:p>
      <w:pPr>
        <w:pStyle w:val="TextBody"/>
        <w:bidi w:val="0"/>
        <w:spacing w:before="0" w:after="0"/>
        <w:ind w:left="3960" w:right="0" w:hanging="0"/>
        <w:jc w:val="left"/>
        <w:rPr/>
      </w:pPr>
      <w:r>
        <w:rPr/>
        <w:t> </w:t>
      </w:r>
    </w:p>
    <w:p>
      <w:pPr>
        <w:pStyle w:val="TextBody"/>
        <w:bidi w:val="0"/>
        <w:spacing w:before="0" w:after="0"/>
        <w:ind w:left="0" w:right="0" w:hanging="0"/>
        <w:jc w:val="center"/>
        <w:rPr>
          <w:rFonts w:ascii="Times New Roman" w:hAnsi="Times New Roman"/>
          <w:sz w:val="22"/>
        </w:rPr>
      </w:pPr>
      <w:r>
        <w:rPr>
          <w:rFonts w:ascii="Times New Roman" w:hAnsi="Times New Roman"/>
          <w:sz w:val="22"/>
        </w:rPr>
        <w:t>July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2"/>
        </w:rPr>
      </w:pPr>
      <w:r>
        <w:rPr>
          <w:rFonts w:ascii="Times New Roman" w:hAnsi="Times New Roman"/>
          <w:sz w:val="22"/>
        </w:rPr>
        <w:br/>
        <w:t>Lattice Semiconductor Corporation</w:t>
        <w:br/>
        <w:t>5555 NE Moore Court</w:t>
        <w:br/>
        <w:t>Hillsboro, OR 97124</w:t>
      </w:r>
    </w:p>
    <w:p>
      <w:pPr>
        <w:pStyle w:val="TextBody"/>
        <w:bidi w:val="0"/>
        <w:spacing w:before="0" w:after="0"/>
        <w:ind w:left="0" w:right="0" w:hanging="0"/>
        <w:jc w:val="left"/>
        <w:rPr/>
      </w:pPr>
      <w:r>
        <w:rPr/>
        <w:t> </w:t>
      </w:r>
    </w:p>
    <w:tbl>
      <w:tblPr>
        <w:tblW w:w="3970" w:type="dxa"/>
        <w:jc w:val="left"/>
        <w:tblInd w:w="0" w:type="dxa"/>
        <w:tblLayout w:type="fixed"/>
        <w:tblCellMar>
          <w:top w:w="0" w:type="dxa"/>
          <w:left w:w="0" w:type="dxa"/>
          <w:bottom w:w="0" w:type="dxa"/>
          <w:right w:w="0" w:type="dxa"/>
        </w:tblCellMar>
      </w:tblPr>
      <w:tblGrid>
        <w:gridCol w:w="60"/>
        <w:gridCol w:w="365"/>
        <w:gridCol w:w="3545"/>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w:t>
            </w:r>
          </w:p>
        </w:tc>
        <w:tc>
          <w:tcPr>
            <w:tcW w:w="3545" w:type="dxa"/>
            <w:tcBorders/>
            <w:vAlign w:val="center"/>
          </w:tcPr>
          <w:p>
            <w:pPr>
              <w:pStyle w:val="TableContents"/>
              <w:bidi w:val="0"/>
              <w:spacing w:before="0" w:after="0"/>
              <w:ind w:left="0" w:right="0" w:hanging="0"/>
              <w:jc w:val="left"/>
              <w:rPr>
                <w:rFonts w:ascii="Times New Roman" w:hAnsi="Times New Roman"/>
                <w:b/>
                <w:sz w:val="22"/>
              </w:rPr>
            </w:pPr>
            <w:r>
              <w:rPr>
                <w:rFonts w:ascii="Times New Roman" w:hAnsi="Times New Roman"/>
                <w:b/>
                <w:sz w:val="22"/>
              </w:rPr>
              <w:t>Registration Statement on Form S-8</w:t>
            </w:r>
          </w:p>
        </w:tc>
      </w:tr>
    </w:tbl>
    <w:p>
      <w:pPr>
        <w:pStyle w:val="TextBody"/>
        <w:bidi w:val="0"/>
        <w:spacing w:before="0" w:after="0"/>
        <w:ind w:left="0" w:right="0" w:firstLine="720"/>
        <w:jc w:val="both"/>
        <w:rPr>
          <w:rFonts w:ascii="Times New Roman" w:hAnsi="Times New Roman"/>
          <w:sz w:val="22"/>
        </w:rPr>
      </w:pPr>
      <w:r>
        <w:rPr>
          <w:rFonts w:ascii="Times New Roman" w:hAnsi="Times New Roman"/>
          <w:sz w:val="22"/>
        </w:rPr>
        <w:br/>
        <w:t>Ladies and Gentlemen:</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 w:hAnsi="Times New Roman"/>
          <w:sz w:val="22"/>
        </w:rPr>
      </w:pPr>
      <w:r>
        <w:rPr>
          <w:rFonts w:ascii="Times New Roman" w:hAnsi="Times New Roman"/>
          <w:sz w:val="22"/>
        </w:rPr>
        <w:t>We have examined the Registration Statement on Form S-8 (the “Registration Statement”) to be filed by you with the Securities and Exchange Commission on or about the date hereof, in connection with the registration under the Securities Act of 1933, as amended, of an aggregate of 625,967 shares of your common stock, par value $0.01 per share (the “Common Stock”), reserved for issuance under the 2025 Inducement Equity Incentive Plan (the “Inducement Plan”).</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 w:hAnsi="Times New Roman"/>
          <w:sz w:val="22"/>
        </w:rPr>
      </w:pPr>
      <w:r>
        <w:rPr>
          <w:rFonts w:ascii="Times New Roman" w:hAnsi="Times New Roman"/>
          <w:sz w:val="22"/>
        </w:rPr>
        <w:t>As your legal counsel, we have examined the proceedings taken and are familiar with the actions proposed to be taken by you in connection with the issuance and sale of the Common Stock under the Inducement Plan and pursuant to the agreements related thereto.</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 w:hAnsi="Times New Roman"/>
          <w:sz w:val="22"/>
        </w:rPr>
      </w:pPr>
      <w:r>
        <w:rPr>
          <w:rFonts w:ascii="Times New Roman" w:hAnsi="Times New Roman"/>
          <w:sz w:val="22"/>
        </w:rPr>
        <w:t>On the basis of the foregoing, and in reliance thereon, we are of the opinion that the Common Stock, when issued and sold in the manner referred to in the applicable Inducement Plan and pursuant to the agreements which accompany the Inducement Plan, will be legally and validly issued, fully paid and nonassessable.</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 w:hAnsi="Times New Roman"/>
          <w:sz w:val="22"/>
        </w:rPr>
      </w:pPr>
      <w:r>
        <w:rPr>
          <w:rFonts w:ascii="Times New Roman" w:hAnsi="Times New Roman"/>
          <w:sz w:val="22"/>
        </w:rPr>
        <w:t>We consent to the use of this opinion as an exhibit to the Registration Statement, and further consent to the use of our name wherever appearing in the Registration Statement and any amendments thereto.</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4320" w:right="0" w:hanging="0"/>
        <w:jc w:val="both"/>
        <w:rPr>
          <w:rFonts w:ascii="Times New Roman" w:hAnsi="Times New Roman"/>
          <w:sz w:val="22"/>
        </w:rPr>
      </w:pPr>
      <w:r>
        <w:rPr>
          <w:rFonts w:ascii="Times New Roman" w:hAnsi="Times New Roman"/>
          <w:sz w:val="22"/>
        </w:rPr>
        <w:t>Very truly yours,</w:t>
      </w:r>
    </w:p>
    <w:p>
      <w:pPr>
        <w:pStyle w:val="TextBody"/>
        <w:bidi w:val="0"/>
        <w:spacing w:before="0" w:after="0"/>
        <w:ind w:left="4320" w:right="0" w:hanging="0"/>
        <w:jc w:val="left"/>
        <w:rPr/>
      </w:pPr>
      <w:r>
        <w:rPr/>
        <w:t> </w:t>
      </w:r>
    </w:p>
    <w:p>
      <w:pPr>
        <w:pStyle w:val="TextBody"/>
        <w:bidi w:val="0"/>
        <w:spacing w:before="0" w:after="0"/>
        <w:ind w:left="4320" w:right="0" w:hanging="0"/>
        <w:jc w:val="left"/>
        <w:rPr>
          <w:rFonts w:ascii="Times New Roman" w:hAnsi="Times New Roman"/>
          <w:sz w:val="22"/>
        </w:rPr>
      </w:pPr>
      <w:r>
        <w:rPr>
          <w:rFonts w:ascii="Times New Roman" w:hAnsi="Times New Roman"/>
          <w:sz w:val="22"/>
        </w:rPr>
        <w:t>/s/ Wilson Sonsini Goodrich &amp; Rosati, Professional Corporation</w:t>
      </w:r>
    </w:p>
    <w:p>
      <w:pPr>
        <w:pStyle w:val="TextBody"/>
        <w:bidi w:val="0"/>
        <w:spacing w:before="0" w:after="0"/>
        <w:ind w:left="4320" w:right="0" w:hanging="0"/>
        <w:jc w:val="left"/>
        <w:rPr/>
      </w:pPr>
      <w:r>
        <w:rPr/>
        <w:t> </w:t>
      </w:r>
    </w:p>
    <w:p>
      <w:pPr>
        <w:pStyle w:val="TextBody"/>
        <w:bidi w:val="0"/>
        <w:spacing w:before="0" w:after="0"/>
        <w:ind w:left="4320" w:right="0" w:hanging="0"/>
        <w:jc w:val="left"/>
        <w:rPr>
          <w:rFonts w:ascii="Times New Roman" w:hAnsi="Times New Roman"/>
          <w:sz w:val="22"/>
        </w:rPr>
      </w:pPr>
      <w:r>
        <w:rPr>
          <w:rFonts w:ascii="Times New Roman" w:hAnsi="Times New Roman"/>
          <w:sz w:val="22"/>
        </w:rPr>
        <w:t>WILSON SONSINI GOODRICH &amp; ROSATI</w:t>
        <w:br/>
        <w:t>Professional Corporation</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4320" w:right="0" w:hanging="0"/>
        <w:jc w:val="left"/>
        <w:rPr/>
      </w:pPr>
      <w:r>
        <w:rPr/>
        <w:t> </w:t>
      </w:r>
    </w:p>
    <w:p>
      <w:pPr>
        <w:pStyle w:val="TextBody"/>
        <w:bidi w:val="0"/>
        <w:spacing w:before="0" w:after="0"/>
        <w:ind w:left="0" w:right="0" w:hanging="0"/>
        <w:jc w:val="center"/>
        <w:rPr>
          <w:rFonts w:ascii="Arial" w:hAnsi="Arial"/>
          <w:sz w:val="18"/>
        </w:rPr>
      </w:pPr>
      <w:r>
        <w:rPr>
          <w:rFonts w:ascii="Arial" w:hAnsi="Arial"/>
          <w:sz w:val="18"/>
        </w:rPr>
        <w:t>AUSTIN   BOSTON   BOULDER   BRUSSELS   HONG KONG   LONDON   LOS ANGELES   NEW YORK   PALO ALTO</w:t>
      </w:r>
    </w:p>
    <w:p>
      <w:pPr>
        <w:pStyle w:val="TextBody"/>
        <w:bidi w:val="0"/>
        <w:spacing w:before="0" w:after="0"/>
        <w:ind w:left="0" w:right="0" w:hanging="0"/>
        <w:jc w:val="center"/>
        <w:rPr>
          <w:rFonts w:ascii="Arial" w:hAnsi="Arial"/>
          <w:sz w:val="18"/>
        </w:rPr>
      </w:pPr>
      <w:r>
        <w:rPr>
          <w:rFonts w:ascii="Arial" w:hAnsi="Arial"/>
          <w:sz w:val="18"/>
        </w:rPr>
        <w:t>SALT LAKE CITY   SAN DIEGO   SAN FRANCISCO   SEATTLE   SHANGHAI   WASHINGTON, DC   WILMINGTON, DE</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 w:name="ex_992855.htm"/>
      <w:bookmarkStart w:id="6" w:name="ksex_992855"/>
      <w:bookmarkEnd w:id="5"/>
      <w:bookmarkEnd w:id="6"/>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consent to the incorporation by reference in the Registration Statement (Form S-8) pertaining to the 2025 Inducement Equity Incentive Plan of Lattice Semiconductor Corporation of our reports dated February 13, 2026 with respect to the consolidated financial statements of Lattice Semiconductor Corporation and the effectiveness of internal control over financial reporting of Lattice Semiconductor Corporation included in its Annual Report (Form 10-K) for the year ended January 3,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San Jose, California</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92856.htm"/>
      <w:bookmarkStart w:id="8" w:name="ksex_992856"/>
      <w:bookmarkStart w:id="9" w:name="ex_992856.htm"/>
      <w:bookmarkStart w:id="10" w:name="ksex_992856"/>
      <w:bookmarkEnd w:id="9"/>
      <w:bookmarkEnd w:id="10"/>
      <w:r>
        <w:br w:type="page"/>
      </w:r>
    </w:p>
    <w:tbl>
      <w:tblPr>
        <w:tblW w:w="4475" w:type="dxa"/>
        <w:jc w:val="left"/>
        <w:tblInd w:w="0" w:type="dxa"/>
        <w:tblLayout w:type="fixed"/>
        <w:tblCellMar>
          <w:top w:w="28" w:type="dxa"/>
          <w:left w:w="28" w:type="dxa"/>
          <w:bottom w:w="28" w:type="dxa"/>
          <w:right w:w="28" w:type="dxa"/>
        </w:tblCellMar>
      </w:tblPr>
      <w:tblGrid>
        <w:gridCol w:w="4321"/>
        <w:gridCol w:w="154"/>
      </w:tblGrid>
      <w:tr>
        <w:trPr/>
        <w:tc>
          <w:tcPr>
            <w:tcW w:w="44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3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283"/>
              <w:jc w:val="left"/>
              <w:rPr>
                <w:b/>
              </w:rPr>
            </w:pPr>
            <w:r>
              <w:rPr>
                <w:b/>
              </w:rPr>
              <w:t xml:space="preserve">LATTICE SEMICONDUCTOR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9" w:type="dxa"/>
        <w:jc w:val="left"/>
        <w:tblInd w:w="0" w:type="dxa"/>
        <w:tblLayout w:type="fixed"/>
        <w:tblCellMar>
          <w:top w:w="28" w:type="dxa"/>
          <w:left w:w="28" w:type="dxa"/>
          <w:bottom w:w="28" w:type="dxa"/>
          <w:right w:w="28" w:type="dxa"/>
        </w:tblCellMar>
      </w:tblPr>
      <w:tblGrid>
        <w:gridCol w:w="241"/>
        <w:gridCol w:w="946"/>
        <w:gridCol w:w="121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par value $0.01 per share, reserved for future issuance under the 2025 Inducement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625,967 </w:t>
            </w:r>
          </w:p>
        </w:tc>
        <w:tc>
          <w:tcPr>
            <w:tcW w:w="1156" w:type="dxa"/>
            <w:tcBorders/>
            <w:shd w:fill="E7E7E2" w:val="clear"/>
            <w:vAlign w:val="center"/>
          </w:tcPr>
          <w:p>
            <w:pPr>
              <w:pStyle w:val="TableContents"/>
              <w:bidi w:val="0"/>
              <w:spacing w:before="0" w:after="283"/>
              <w:jc w:val="right"/>
              <w:rPr/>
            </w:pPr>
            <w:r>
              <w:rPr/>
              <w:t xml:space="preserve">$ 132.37 </w:t>
            </w:r>
          </w:p>
        </w:tc>
        <w:tc>
          <w:tcPr>
            <w:tcW w:w="1666" w:type="dxa"/>
            <w:tcBorders/>
            <w:shd w:fill="E7E7E2" w:val="clear"/>
            <w:vAlign w:val="center"/>
          </w:tcPr>
          <w:p>
            <w:pPr>
              <w:pStyle w:val="TableContents"/>
              <w:bidi w:val="0"/>
              <w:spacing w:before="0" w:after="283"/>
              <w:jc w:val="right"/>
              <w:rPr/>
            </w:pPr>
            <w:r>
              <w:rPr/>
              <w:t xml:space="preserve">$ 82,859,251.79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$ 11,442.86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$ 82,859,251.79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$ 11,442.86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$ 11,442.86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promulgated under the Securities Act of 1933, as amended (the "Securities Act"), this Registration Statement shall also cover any additional shares of common stock, par value $0.01 per share ("Common Stock") of Lattice Semiconductor Corporation (the "Registrant") that become issuable under the plan set forth herein by reason of any stock dividend, stock split, recapitalization or other similar transaction effected without receipt of consideration that increases the number of outstanding shares of the Registrant's Common Stock. The proposed maximum offering price per unit is estimated solely for the purpose of calculating the amount of the registration fee pursuant to Rule 457(c) and Rule 457(h) promulgated under the Securities Act. The offering price per share and the aggregate offering price are based upon $132.37 per share, which is the average of the high and low prices of the Registrant's Common Stock as reported on The Nasdaq Global Select Market on July 24,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855658/000143774926004100/lscc20260103_10k.htm" TargetMode="External"/><Relationship Id="rId3" Type="http://schemas.openxmlformats.org/officeDocument/2006/relationships/hyperlink" Target="http://www.sec.gov/Archives/edgar/data/855658/000143774924004522/ex_603799.htm" TargetMode="External"/><Relationship Id="rId4" Type="http://schemas.openxmlformats.org/officeDocument/2006/relationships/hyperlink" Target="http://www.sec.gov/Archives/edgar/data/855658/000143774926024519/ex_99374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3873</Words>
  <Characters>21135</Characters>
  <CharactersWithSpaces>25183</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