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 2026</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820"/>
        <w:spacing w:after="0"/>
        <w:tabs>
          <w:tab w:leader="none" w:pos="712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-5080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000-18032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431165</wp:posOffset>
            </wp:positionV>
            <wp:extent cx="269176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176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LATTICE SEMICONDUCTOR CORPORATION</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 w:type="dxa"/>
        <w:tblCellMar>
          <w:top w:w="0" w:type="dxa"/>
          <w:left w:w="0" w:type="dxa"/>
          <w:bottom w:w="0" w:type="dxa"/>
          <w:right w:w="0" w:type="dxa"/>
        </w:tblCellMar>
      </w:tblPr>
      <w:tr>
        <w:trPr>
          <w:trHeight w:val="210"/>
        </w:trPr>
        <w:tc>
          <w:tcPr>
            <w:tcW w:w="4580" w:type="dxa"/>
            <w:vAlign w:val="bottom"/>
            <w:gridSpan w:val="3"/>
          </w:tcPr>
          <w:p>
            <w:pPr>
              <w:jc w:val="center"/>
              <w:ind w:left="898"/>
              <w:spacing w:after="0"/>
              <w:rPr>
                <w:sz w:val="20"/>
                <w:szCs w:val="20"/>
                <w:color w:val="auto"/>
              </w:rPr>
            </w:pPr>
            <w:r>
              <w:rPr>
                <w:rFonts w:ascii="Times New Roman" w:cs="Times New Roman" w:eastAsia="Times New Roman" w:hAnsi="Times New Roman"/>
                <w:sz w:val="18"/>
                <w:szCs w:val="18"/>
                <w:color w:val="auto"/>
                <w:w w:val="99"/>
              </w:rPr>
              <w:t>State of Delaware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tcPr>
          <w:p>
            <w:pPr>
              <w:jc w:val="right"/>
              <w:ind w:right="2161"/>
              <w:spacing w:after="0"/>
              <w:rPr>
                <w:sz w:val="20"/>
                <w:szCs w:val="20"/>
                <w:color w:val="auto"/>
              </w:rPr>
            </w:pPr>
            <w:r>
              <w:rPr>
                <w:rFonts w:ascii="Times New Roman" w:cs="Times New Roman" w:eastAsia="Times New Roman" w:hAnsi="Times New Roman"/>
                <w:sz w:val="18"/>
                <w:szCs w:val="18"/>
                <w:color w:val="auto"/>
              </w:rPr>
              <w:t>93-0835214</w:t>
            </w:r>
          </w:p>
        </w:tc>
        <w:tc>
          <w:tcPr>
            <w:tcW w:w="0" w:type="dxa"/>
            <w:vAlign w:val="bottom"/>
          </w:tcPr>
          <w:p>
            <w:pPr>
              <w:spacing w:after="0"/>
              <w:rPr>
                <w:sz w:val="1"/>
                <w:szCs w:val="1"/>
                <w:color w:val="auto"/>
              </w:rPr>
            </w:pPr>
          </w:p>
        </w:tc>
      </w:tr>
      <w:tr>
        <w:trPr>
          <w:trHeight w:val="149"/>
        </w:trPr>
        <w:tc>
          <w:tcPr>
            <w:tcW w:w="4580" w:type="dxa"/>
            <w:vAlign w:val="bottom"/>
            <w:gridSpan w:val="3"/>
          </w:tcPr>
          <w:p>
            <w:pPr>
              <w:jc w:val="center"/>
              <w:ind w:left="8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tcPr>
          <w:p>
            <w:pPr>
              <w:jc w:val="center"/>
              <w:ind w:right="20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80" w:type="dxa"/>
            <w:vAlign w:val="bottom"/>
            <w:gridSpan w:val="3"/>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tcPr>
          <w:p>
            <w:pPr>
              <w:jc w:val="center"/>
              <w:ind w:right="20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4"/>
        </w:trPr>
        <w:tc>
          <w:tcPr>
            <w:tcW w:w="4580" w:type="dxa"/>
            <w:vAlign w:val="bottom"/>
            <w:gridSpan w:val="3"/>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9"/>
              </w:rPr>
              <w:t>5555 NE Moore Court, Hillsboro, OR</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jc w:val="right"/>
              <w:ind w:right="2381"/>
              <w:spacing w:after="0"/>
              <w:rPr>
                <w:sz w:val="20"/>
                <w:szCs w:val="20"/>
                <w:color w:val="auto"/>
              </w:rPr>
            </w:pPr>
            <w:r>
              <w:rPr>
                <w:rFonts w:ascii="Times New Roman" w:cs="Times New Roman" w:eastAsia="Times New Roman" w:hAnsi="Times New Roman"/>
                <w:sz w:val="18"/>
                <w:szCs w:val="18"/>
                <w:b w:val="1"/>
                <w:bCs w:val="1"/>
                <w:color w:val="auto"/>
              </w:rPr>
              <w:t>97124</w:t>
            </w:r>
          </w:p>
        </w:tc>
        <w:tc>
          <w:tcPr>
            <w:tcW w:w="0" w:type="dxa"/>
            <w:vAlign w:val="bottom"/>
          </w:tcPr>
          <w:p>
            <w:pPr>
              <w:spacing w:after="0"/>
              <w:rPr>
                <w:sz w:val="1"/>
                <w:szCs w:val="1"/>
                <w:color w:val="auto"/>
              </w:rPr>
            </w:pPr>
          </w:p>
        </w:tc>
      </w:tr>
      <w:tr>
        <w:trPr>
          <w:trHeight w:val="190"/>
        </w:trPr>
        <w:tc>
          <w:tcPr>
            <w:tcW w:w="45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tcPr>
          <w:p>
            <w:pPr>
              <w:jc w:val="center"/>
              <w:ind w:right="20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93"/>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9"/>
              </w:rPr>
              <w:t>(503) 268-8000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40" w:type="dxa"/>
            <w:vAlign w:val="bottom"/>
            <w:gridSpan w:val="6"/>
          </w:tcPr>
          <w:p>
            <w:pPr>
              <w:jc w:val="center"/>
              <w:ind w:left="31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6"/>
          </w:tcPr>
          <w:p>
            <w:pPr>
              <w:jc w:val="center"/>
              <w:ind w:left="317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580" w:type="dxa"/>
            <w:vAlign w:val="bottom"/>
            <w:gridSpan w:val="3"/>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2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580" w:type="dxa"/>
            <w:vAlign w:val="bottom"/>
            <w:gridSpan w:val="3"/>
            <w:vMerge w:val="continue"/>
          </w:tcPr>
          <w:p>
            <w:pPr>
              <w:spacing w:after="0"/>
              <w:rPr>
                <w:sz w:val="16"/>
                <w:szCs w:val="16"/>
                <w:color w:val="auto"/>
              </w:rPr>
            </w:pPr>
          </w:p>
        </w:tc>
        <w:tc>
          <w:tcPr>
            <w:tcW w:w="31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28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LSCC</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tcPr>
          <w:p>
            <w:pPr>
              <w:jc w:val="center"/>
              <w:ind w:right="181"/>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1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20"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25" w:right="439" w:bottom="0" w:gutter="0" w:footer="0" w:header="0"/>
        </w:sectPr>
      </w:pP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380"/>
            <w:col w:w="5760" w:space="720"/>
            <w:col w:w="1600" w:space="720"/>
            <w:col w:w="220"/>
          </w:cols>
          <w:pgMar w:left="320" w:top="225" w:right="439" w:bottom="0" w:gutter="0" w:footer="0" w:header="0"/>
          <w:type w:val="continuous"/>
        </w:sectPr>
      </w:pPr>
    </w:p>
    <w:p>
      <w:pPr>
        <w:spacing w:after="0" w:line="4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40" w:space="480"/>
            <w:col w:w="5760" w:space="720"/>
            <w:col w:w="1980" w:space="340"/>
            <w:col w:w="220"/>
          </w:cols>
          <w:pgMar w:left="320" w:top="225"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5"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90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w w:val="97"/>
              </w:rPr>
              <w:t xml:space="preserve">Indicate by check mark whether the registrant is a shell company (as defined in Rule 12b-2 of the Exchange Act).   Yes  </w:t>
            </w: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  </w:t>
            </w:r>
          </w:p>
        </w:tc>
        <w:tc>
          <w:tcPr>
            <w:tcW w:w="196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1"/>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 outstanding as of October 29, 2026</w:t>
            </w:r>
          </w:p>
        </w:tc>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142,225,691             </w:t>
            </w:r>
          </w:p>
        </w:tc>
      </w:tr>
      <w:tr>
        <w:trPr>
          <w:trHeight w:val="297"/>
        </w:trPr>
        <w:tc>
          <w:tcPr>
            <w:tcW w:w="90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8"/>
        </w:trPr>
        <w:tc>
          <w:tcPr>
            <w:tcW w:w="90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8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 Regarding Forward-Looking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28"/>
        </w:trPr>
        <w:tc>
          <w:tcPr>
            <w:tcW w:w="8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42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140" w:type="dxa"/>
            <w:vAlign w:val="bottom"/>
            <w:tcBorders>
              <w:top w:val="single" w:sz="8" w:color="0000EE"/>
              <w:bottom w:val="single" w:sz="8" w:color="auto"/>
            </w:tcBorders>
          </w:tcPr>
          <w:p>
            <w:pPr>
              <w:spacing w:after="0"/>
              <w:rPr>
                <w:sz w:val="11"/>
                <w:szCs w:val="11"/>
                <w:color w:val="auto"/>
              </w:rPr>
            </w:pPr>
          </w:p>
        </w:tc>
        <w:tc>
          <w:tcPr>
            <w:tcW w:w="420" w:type="dxa"/>
            <w:vAlign w:val="bottom"/>
            <w:tcBorders>
              <w:top w:val="single" w:sz="8" w:color="0000EE"/>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1540" w:type="dxa"/>
            <w:vAlign w:val="bottom"/>
            <w:tcBorders>
              <w:top w:val="single" w:sz="8" w:color="0000EE"/>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209"/>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0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6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Statements of Operations – Three and Nine Months Ended October 3, 2026 and September 27, 2025 (unaudited)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860" w:type="dxa"/>
            <w:vAlign w:val="bottom"/>
          </w:tcPr>
          <w:p>
            <w:pPr>
              <w:spacing w:after="0"/>
              <w:rPr>
                <w:sz w:val="24"/>
                <w:szCs w:val="24"/>
                <w:color w:val="auto"/>
              </w:rPr>
            </w:pPr>
          </w:p>
        </w:tc>
        <w:tc>
          <w:tcPr>
            <w:tcW w:w="87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and Nine Months Ended October 3, 2026 and September 27,</w:t>
            </w:r>
          </w:p>
        </w:tc>
        <w:tc>
          <w:tcPr>
            <w:tcW w:w="3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2025 (unaudited)</w:t>
            </w:r>
          </w:p>
        </w:tc>
        <w:tc>
          <w:tcPr>
            <w:tcW w:w="7980" w:type="dxa"/>
            <w:vAlign w:val="bottom"/>
            <w:gridSpan w:val="1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04"/>
        </w:trPr>
        <w:tc>
          <w:tcPr>
            <w:tcW w:w="8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Balance Sheets – October 3, 2026 and January 3, 2026 (unaudited)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83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 Nine Months Ended October 3, 2026 and September 27, 2025 (unaudited)</w:t>
            </w:r>
          </w:p>
        </w:tc>
        <w:tc>
          <w:tcPr>
            <w:tcW w:w="102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8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 Three and Nine Months Ended October 3, 2026 and September 27,</w:t>
            </w:r>
          </w:p>
        </w:tc>
        <w:tc>
          <w:tcPr>
            <w:tcW w:w="7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2025 (unaudited)</w:t>
            </w:r>
          </w:p>
        </w:tc>
        <w:tc>
          <w:tcPr>
            <w:tcW w:w="7120" w:type="dxa"/>
            <w:vAlign w:val="bottom"/>
            <w:tcBorders>
              <w:top w:val="single" w:sz="8" w:color="0000EE"/>
            </w:tcBorders>
            <w:gridSpan w:val="10"/>
          </w:tcPr>
          <w:p>
            <w:pPr>
              <w:spacing w:after="0"/>
              <w:rPr>
                <w:sz w:val="17"/>
                <w:szCs w:val="17"/>
                <w:color w:val="auto"/>
              </w:rPr>
            </w:pPr>
          </w:p>
        </w:tc>
        <w:tc>
          <w:tcPr>
            <w:tcW w:w="86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304"/>
        </w:trPr>
        <w:tc>
          <w:tcPr>
            <w:tcW w:w="86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94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04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28"/>
        </w:trPr>
        <w:tc>
          <w:tcPr>
            <w:tcW w:w="8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42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140" w:type="dxa"/>
            <w:vAlign w:val="bottom"/>
            <w:tcBorders>
              <w:top w:val="single" w:sz="8" w:color="0000EE"/>
              <w:bottom w:val="single" w:sz="8" w:color="auto"/>
            </w:tcBorders>
          </w:tcPr>
          <w:p>
            <w:pPr>
              <w:spacing w:after="0"/>
              <w:rPr>
                <w:sz w:val="11"/>
                <w:szCs w:val="11"/>
                <w:color w:val="auto"/>
              </w:rPr>
            </w:pPr>
          </w:p>
        </w:tc>
        <w:tc>
          <w:tcPr>
            <w:tcW w:w="420" w:type="dxa"/>
            <w:vAlign w:val="bottom"/>
            <w:tcBorders>
              <w:top w:val="single" w:sz="8" w:color="0000EE"/>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209"/>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0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tcBorders>
              <w:bottom w:val="single" w:sz="8" w:color="auto"/>
            </w:tcBorders>
          </w:tcPr>
          <w:p>
            <w:pPr>
              <w:spacing w:after="0"/>
              <w:rPr>
                <w:sz w:val="18"/>
                <w:szCs w:val="18"/>
                <w:color w:val="auto"/>
              </w:rPr>
            </w:pPr>
          </w:p>
        </w:tc>
      </w:tr>
      <w:tr>
        <w:trPr>
          <w:trHeight w:val="26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060" w:type="dxa"/>
            <w:vAlign w:val="bottom"/>
            <w:gridSpan w:val="14"/>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8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3020" w:type="dxa"/>
            <w:vAlign w:val="bottom"/>
            <w:tcBorders>
              <w:top w:val="single" w:sz="8" w:color="0000EE"/>
            </w:tcBorders>
            <w:gridSpan w:val="7"/>
          </w:tcPr>
          <w:p>
            <w:pPr>
              <w:spacing w:after="0"/>
              <w:rPr>
                <w:sz w:val="24"/>
                <w:szCs w:val="24"/>
                <w:color w:val="auto"/>
              </w:rPr>
            </w:pPr>
          </w:p>
        </w:tc>
        <w:tc>
          <w:tcPr>
            <w:tcW w:w="506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8800" w:type="dxa"/>
            <w:vAlign w:val="bottom"/>
            <w:gridSpan w:val="1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4"/>
        </w:trPr>
        <w:tc>
          <w:tcPr>
            <w:tcW w:w="8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8640" w:type="dxa"/>
            <w:vAlign w:val="bottom"/>
            <w:gridSpan w:val="17"/>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85"/>
        </w:trPr>
        <w:tc>
          <w:tcPr>
            <w:tcW w:w="860" w:type="dxa"/>
            <w:vAlign w:val="bottom"/>
          </w:tcPr>
          <w:p>
            <w:pPr>
              <w:spacing w:after="0"/>
              <w:rPr>
                <w:sz w:val="24"/>
                <w:szCs w:val="24"/>
                <w:color w:val="auto"/>
              </w:rPr>
            </w:pPr>
          </w:p>
        </w:tc>
        <w:tc>
          <w:tcPr>
            <w:tcW w:w="5800" w:type="dxa"/>
            <w:vAlign w:val="bottom"/>
            <w:gridSpan w:val="14"/>
          </w:tcPr>
          <w:p>
            <w:pPr>
              <w:ind w:left="4500"/>
              <w:spacing w:after="0"/>
              <w:rPr>
                <w:sz w:val="20"/>
                <w:szCs w:val="20"/>
                <w:color w:val="auto"/>
              </w:rPr>
            </w:pPr>
            <w:r>
              <w:rPr>
                <w:rFonts w:ascii="Times New Roman" w:cs="Times New Roman" w:eastAsia="Times New Roman" w:hAnsi="Times New Roman"/>
                <w:sz w:val="18"/>
                <w:szCs w:val="18"/>
                <w:color w:val="auto"/>
              </w:rPr>
              <w:t>- 2 -</w:t>
            </w:r>
          </w:p>
        </w:tc>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federal securities laws. These involve estimates, assumptions, risks, and uncertainties. Any statements about our expectations, beliefs, plans, objectives, assumptions, or future events or performance are not historical facts and may be forward-looking. We use words or phrases such as “anticipate,” “believe,” “could,” “estimate,” “expect,” “intend,” “plan,” “possible,” “predict,” “projects,” “may,” “will,” “should,” “continue,” “ongoing,” “future,” “potential,” and similar words or phrases to identify forward-looking statements.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 our target or expected financial performance and our ability to achieve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those results; current and future impacts of the macroeconomic climate, including ongoing global military conflicts and actions of governments,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businesses, and individuals in response to these situations; the impact of any continuing trade or travel restrictions or increasing tariffs on the export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import of products between the U.S. and other countries, including China; the impact of any deterioration in relations between Taiwan and China,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factors affecting military, political, or economic conditions in Taiwan or elsewhere in Asia; the impact of tariffs, trade sanctions, license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or similar actions on our suppliers and customers; the impact of inflationary pressures; our business strategy; our expectations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strategies regarding market trends and opportunities, including market drivers such as wireless and wireline communications infrastructure deployments,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data center servers and networking equipment, client computing platforms, industrial Internet of Things, factory automation, robotics, automotive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electronics, smart homes, prosumers, and other applications; our beliefs about who we may compete with and whether we are differentiated from those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competitors, as well as their potential capabilities; our expectations regarding our customer base, including concentration in certain geographic regions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impacts of our customers’ actions on our business; our expectations regarding distributor and customer purchasing patterns, inventory levels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growth, and order timing; our expectations regarding both new and existing product offerings; our gross margin growth and our strategies to achieve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gross margin growth and other financial results; our future investments in research and development, and selling, general and administrative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activities; our ability to attract and retain personnel and their importance to our performance; future financial results or accounting treatments, including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non-GAAP financial measures; our judgments involved in accounting matters, including revenue recognition, inventories and cost of revenue,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income taxes; actions we may take regarding the design and continued effectiveness of our internal controls over financial reporting; our use of cash; our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beliefs regarding the adequacy of our liquidity, capital resources and facilities; our expectations regarding borrowings under our 2026 Credit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including the delayed draw term loan facility incurred in connection with our acquisition of AMI, and our ability to comply with covenants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2026 Credit Agreement; our use of foreign currency forward contracts and other hedging instruments, and the effectiveness of such hedges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managing our foreign currency exposure; whether we will consider and act upon acquisition opportunities, and the timing, completion, or abandonment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such transactions and the impact of such opportunities on our business; expected timing and completion of our restructuring plans; whether we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pursue future stock repurchases and how any future repurchases will be funded; the future price volatility of our stock and the effects of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volatility; our ability or failure to prevent and respond to information technology system failures, security breaches and incidents, cyberattacks or fraud,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occurrence and impact of such cybersecurity incidents; the costs of mitigating cybersecurity risks; the impact of artificial intelligence (“AI”),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our expectations regarding the growth of AI-related revenue; our ability to successfully pursue and execute acquisitions and inorganic growth,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to successfully integrate acquired businesses and achieve the anticipated benefits of acquisition transactions, including with respect to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of AMI completed in July 2026; the impact of laws and regulations addressing privacy, data protection, and cybersecurity and our ability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comply with the same; our ability to comply with other laws and regulations, the costs of such compliance, and costs incurred if we fail to comply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laws and regulations; our beliefs regarding legal or administrative proceedings; and impacts of global pandemics, epidemics, and other public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health matters and actions of governments, businesses, and individuals in response to these situations.</w:t>
      </w:r>
    </w:p>
    <w:p>
      <w:pPr>
        <w:spacing w:after="0" w:line="20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estimates and assumptions that are subject to risks and uncertainties that could cause actual results to differ materially from those statements expressed in the forward-looking statements. The key factors, among others, that could cause our actual results to differ materially from the forward-looking statements include: global economic conditions and semiconductor industry cyclicality; customer and distributor purchasing patterns, inventory levels and order timing; pricing and inflationary pressures; competition, including customers’ internal development efforts and open-source or other alternative firmware and software solutions; international trade disputes, sanctions, tariffs, export controls and license requirements; our ability to successfully integrate AMI and realize the anticipated benefits of the AMI Acquisition; risks relating to our indebtedness, including our ability to service and reduce that debt, restrictions under our debt agreements and changes in interest rates; potential impairment of goodwill or acquired intangible assets; concentration of demand among a limited number of customers, distributors and end markets, including AI and data-center infrastructure, and the risk that anticipated demand does not materialize or is not sustained; our dependence on third-party foundry, assembly and test providers and our ability to obtain sufficient manufacturing and test capacity and supply; risks associated with long-term supply arrangements or minimum purchase or volume commitments; retention of key employees; cybersecurity incidents and risks relating to the security of our products and firmware; technological change and our ability to timely develop and introduce products, firmware and software; and other factors more fully described herein and that are otherwise described from time to time in our filings with the Securities and Exchange Commission (“SEC”), including, but not limited to, the items discussed in Part II, Item 1A, “Risk Factors,” and elsewhere in this Quarterly Report on Form 10-Q.</w:t>
      </w:r>
    </w:p>
    <w:p>
      <w:pPr>
        <w:spacing w:after="0" w:line="19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You should not unduly rely on forward-looking statements because our actual results could differ materially from those expressed by us. In addition, any forward-looking statement applies only as of the date of this filing. We do not plan to, and undertake no obligation to, update any forward-looking statements to reflect new information or new events, circumstances or developments, or otherwise.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72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vMerge w:val="continue"/>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291,035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663,011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 sold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87,928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200,940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120,464</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of revenue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94,915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207,927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120,464</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196,120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455,084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195,386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134,550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150,390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109,339</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related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30,310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other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172,152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92,061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382,695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246,860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58,291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12,109</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11,206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52,382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per share calculations: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140,863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138,242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137,224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143,772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141,318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138,069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1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0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vMerge w:val="continue"/>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$ 11,206</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$ 52,382</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 adjustment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(515)</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unrealized gains (losses) on cash flow hedges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actuarial valuation of defined benefit pension</w:t>
            </w: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$ 11,349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$ 51,286</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data)</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8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3"/>
        </w:trPr>
        <w:tc>
          <w:tcPr>
            <w:tcW w:w="91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47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128,277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133,886</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162,629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102,277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120,577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89,202</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38,509</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363,874</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less accumulated depreciation of $126,554 at October 3, 2026 and $123,654 at January 3, 2026</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77,032</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55,551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39,459</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559,718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1,369,498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315,358</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62,675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20,579</w:t>
            </w:r>
          </w:p>
        </w:tc>
        <w:tc>
          <w:tcPr>
            <w:tcW w:w="0" w:type="dxa"/>
            <w:vAlign w:val="bottom"/>
          </w:tcPr>
          <w:p>
            <w:pPr>
              <w:spacing w:after="0"/>
              <w:rPr>
                <w:sz w:val="1"/>
                <w:szCs w:val="1"/>
                <w:color w:val="auto"/>
              </w:rPr>
            </w:pPr>
          </w:p>
        </w:tc>
      </w:tr>
      <w:tr>
        <w:trPr>
          <w:trHeight w:val="223"/>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2,609,565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883,120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115,329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56,518</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86,733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30,594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obligations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30,561</w:t>
            </w:r>
          </w:p>
        </w:tc>
        <w:tc>
          <w:tcPr>
            <w:tcW w:w="0" w:type="dxa"/>
            <w:vAlign w:val="bottom"/>
          </w:tcPr>
          <w:p>
            <w:pPr>
              <w:spacing w:after="0"/>
              <w:rPr>
                <w:sz w:val="1"/>
                <w:szCs w:val="1"/>
                <w:color w:val="auto"/>
              </w:rPr>
            </w:pPr>
          </w:p>
        </w:tc>
      </w:tr>
      <w:tr>
        <w:trPr>
          <w:trHeight w:val="223"/>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117,673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869,080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 net of current portion</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36,127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15,266</w:t>
            </w:r>
          </w:p>
        </w:tc>
        <w:tc>
          <w:tcPr>
            <w:tcW w:w="0" w:type="dxa"/>
            <w:vAlign w:val="bottom"/>
          </w:tcPr>
          <w:p>
            <w:pPr>
              <w:spacing w:after="0"/>
              <w:rPr>
                <w:sz w:val="1"/>
                <w:szCs w:val="1"/>
                <w:color w:val="auto"/>
              </w:rPr>
            </w:pPr>
          </w:p>
        </w:tc>
      </w:tr>
      <w:tr>
        <w:trPr>
          <w:trHeight w:val="230"/>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1,192,332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169,066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(Note 14)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$.01 par value, 10,000,000 shares authorized, none issued and outstanding</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91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$.01 par value, 300,000,000 shares authorized; 142,127,000 shares issued and outstanding as of</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October 3, 2026 and 136,771,000 shares issued and outstanding as of January 3, 2026</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1,155,487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503,647</w:t>
            </w: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264,564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212,182</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30"/>
        </w:trPr>
        <w:tc>
          <w:tcPr>
            <w:tcW w:w="9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1,417,233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714,054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2,609,565</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883,120</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8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6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52,382</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43,682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26,567</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122,764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80,233</w:t>
            </w: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Write-off unamortized debt issuance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 excluding impact of acquisition: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(14,432)</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Inventories,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12,694</w:t>
            </w:r>
          </w:p>
        </w:tc>
        <w:tc>
          <w:tcPr>
            <w:tcW w:w="0" w:type="dxa"/>
            <w:vAlign w:val="bottom"/>
          </w:tcPr>
          <w:p>
            <w:pPr>
              <w:spacing w:after="0"/>
              <w:rPr>
                <w:sz w:val="1"/>
                <w:szCs w:val="1"/>
                <w:color w:val="auto"/>
              </w:rPr>
            </w:pPr>
          </w:p>
        </w:tc>
      </w:tr>
      <w:tr>
        <w:trPr>
          <w:trHeight w:val="216"/>
        </w:trPr>
        <w:tc>
          <w:tcPr>
            <w:tcW w:w="8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10,886</w:t>
            </w:r>
          </w:p>
        </w:tc>
        <w:tc>
          <w:tcPr>
            <w:tcW w:w="0" w:type="dxa"/>
            <w:vAlign w:val="bottom"/>
          </w:tcPr>
          <w:p>
            <w:pPr>
              <w:spacing w:after="0"/>
              <w:rPr>
                <w:sz w:val="1"/>
                <w:szCs w:val="1"/>
                <w:color w:val="auto"/>
              </w:rPr>
            </w:pPr>
          </w:p>
        </w:tc>
      </w:tr>
      <w:tr>
        <w:trPr>
          <w:trHeight w:val="216"/>
        </w:trPr>
        <w:tc>
          <w:tcPr>
            <w:tcW w:w="8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liabilities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(26,270)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payroll obligations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8,822</w:t>
            </w:r>
          </w:p>
        </w:tc>
        <w:tc>
          <w:tcPr>
            <w:tcW w:w="0" w:type="dxa"/>
            <w:vAlign w:val="bottom"/>
          </w:tcPr>
          <w:p>
            <w:pPr>
              <w:spacing w:after="0"/>
              <w:rPr>
                <w:sz w:val="1"/>
                <w:szCs w:val="1"/>
                <w:color w:val="auto"/>
              </w:rPr>
            </w:pPr>
          </w:p>
        </w:tc>
      </w:tr>
      <w:tr>
        <w:trPr>
          <w:trHeight w:val="216"/>
        </w:trPr>
        <w:tc>
          <w:tcPr>
            <w:tcW w:w="8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Operating lease liabilities, current and long-term portions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233,594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117,523</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business acquisition, net of cash acquired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(28,920)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software and intellectual property licenses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(12,213)</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long-term investment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(1,042,661)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(41,133)</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 tax withholdings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(14,580)</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(85,855)</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debt, net of issuance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912,731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0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803,331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 on cash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133,886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136,291</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128,277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and non-cash investing and financing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paid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7,458</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payments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8,091</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purchases of intellectual property licenses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purchases of plant and equipment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4,982</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3,638</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10,349</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following summarizes the changes in total equity for the nine-month period ended October 3, 2026:</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64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000" w:type="dxa"/>
            <w:vAlign w:val="bottom"/>
          </w:tcPr>
          <w:p>
            <w:pPr>
              <w:spacing w:after="0"/>
              <w:rPr>
                <w:sz w:val="7"/>
                <w:szCs w:val="7"/>
                <w:color w:val="auto"/>
              </w:rPr>
            </w:pPr>
          </w:p>
        </w:tc>
        <w:tc>
          <w:tcPr>
            <w:tcW w:w="16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restart"/>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1460" w:type="dxa"/>
            <w:vAlign w:val="bottom"/>
            <w:gridSpan w:val="4"/>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($.01 par value)</w:t>
            </w:r>
          </w:p>
        </w:tc>
        <w:tc>
          <w:tcPr>
            <w:tcW w:w="1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500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par value data)</w:t>
            </w: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50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3, 2026</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503,647</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$212,182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3"/>
              </w:rPr>
              <w:t>(3,143)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comprehensive income, net of tax:</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for the nine months ended October 3, 2026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52,382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52,382</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51,286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upon the acquisition of AMI</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4,741</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582,713</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582,760</w:t>
            </w: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 equity incentive award stock issuance, net of tax</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781</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(44,408)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122,764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122,764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incentive compensation settled in equity</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5,769</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(14,998)</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October 3, 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1,155,487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264,564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1,417,233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following summarizes the changes in total equity for the nine-month period ended September 27, 2025:</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64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16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80" w:type="dxa"/>
            <w:vAlign w:val="bottom"/>
          </w:tcPr>
          <w:p>
            <w:pPr>
              <w:spacing w:after="0"/>
              <w:rPr>
                <w:sz w:val="5"/>
                <w:szCs w:val="5"/>
                <w:color w:val="auto"/>
              </w:rPr>
            </w:pPr>
          </w:p>
        </w:tc>
        <w:tc>
          <w:tcPr>
            <w:tcW w:w="1460" w:type="dxa"/>
            <w:vAlign w:val="bottom"/>
            <w:gridSpan w:val="4"/>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($.01 par value)</w:t>
            </w:r>
          </w:p>
        </w:tc>
        <w:tc>
          <w:tcPr>
            <w:tcW w:w="1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528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par value data)</w:t>
            </w: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28, 2024</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$504,299</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$209,098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3"/>
              </w:rPr>
              <w:t>(3,842)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710,932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comprehensive income, net of tax:</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for the nine months ended September 27, 2025</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10,729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369</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11,098</w:t>
            </w: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equity incentive award stock issuance, net of tax</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(9,437)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80,233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80,233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(1,546)</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(86,417)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(86,432)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27, 2025</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136,752</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1,368</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488,678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219,827</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(3,473)</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706,400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following summarizes the changes in total equity for the three-month period ended October 3, 2026:</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5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08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restart"/>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080" w:type="dxa"/>
            <w:vAlign w:val="bottom"/>
          </w:tcPr>
          <w:p>
            <w:pPr>
              <w:spacing w:after="0"/>
              <w:rPr>
                <w:sz w:val="5"/>
                <w:szCs w:val="5"/>
                <w:color w:val="auto"/>
              </w:rPr>
            </w:pPr>
          </w:p>
        </w:tc>
        <w:tc>
          <w:tcPr>
            <w:tcW w:w="1420" w:type="dxa"/>
            <w:vAlign w:val="bottom"/>
            <w:gridSpan w:val="3"/>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($.01 par value)</w:t>
            </w:r>
          </w:p>
        </w:tc>
        <w:tc>
          <w:tcPr>
            <w:tcW w:w="14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5080" w:type="dxa"/>
            <w:vAlign w:val="bottom"/>
          </w:tcPr>
          <w:p>
            <w:pPr>
              <w:spacing w:after="0"/>
              <w:rPr>
                <w:sz w:val="9"/>
                <w:szCs w:val="9"/>
                <w:color w:val="auto"/>
              </w:rPr>
            </w:pPr>
          </w:p>
        </w:tc>
        <w:tc>
          <w:tcPr>
            <w:tcW w:w="1420" w:type="dxa"/>
            <w:vAlign w:val="bottom"/>
            <w:tcBorders>
              <w:bottom w:val="single" w:sz="8" w:color="auto"/>
            </w:tcBorders>
            <w:gridSpan w:val="3"/>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par value data)</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July 4, 2026</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137,187</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537,179</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$253,358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3"/>
              </w:rPr>
              <w:t>(4,382)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comprehensive income, net of tax:</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for the three months ended October 3, 2026</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11,206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11,206</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11,349</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upon the acquisition of AMI</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4,741</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582,713</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 equity incentive award stock issuance, net of tax</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(14,697)</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(14,695)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50,292</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50,292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October 3, 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142,127</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1,155,487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264,564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1,417,233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following summarizes the changes in total equity for the three-month period ended September 27, 2025:</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64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16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80" w:type="dxa"/>
            <w:vAlign w:val="bottom"/>
          </w:tcPr>
          <w:p>
            <w:pPr>
              <w:spacing w:after="0"/>
              <w:rPr>
                <w:sz w:val="5"/>
                <w:szCs w:val="5"/>
                <w:color w:val="auto"/>
              </w:rPr>
            </w:pPr>
          </w:p>
        </w:tc>
        <w:tc>
          <w:tcPr>
            <w:tcW w:w="1460" w:type="dxa"/>
            <w:vAlign w:val="bottom"/>
            <w:gridSpan w:val="4"/>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($.01 par value)</w:t>
            </w:r>
          </w:p>
        </w:tc>
        <w:tc>
          <w:tcPr>
            <w:tcW w:w="1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528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par value data)</w:t>
            </w: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28, 2025</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$471,606</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$217,033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687,048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comprehensive income, net of tax:</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for the three months ended September 27, 2025</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05"/>
        </w:trPr>
        <w:tc>
          <w:tcPr>
            <w:tcW w:w="5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Employee equity incentive award stock issuance, net of tax</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(3,705)</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35,774</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35,774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(14,997)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27, 2025</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136,752</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1,368</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488,678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219,827</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(3,473)</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706,400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Lattice Semiconductor Corporation and its subsidiaries (“Lattice,” the “Company,” “we,” “us,” or “our”) develop technologies that we monetize through differentiated programmable logic semiconductor products, silicon-enabling products, platform firmware and infrastructure manageability technology, system solutions, design services, and technology licenses.</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July 27, 2026, we completed our acquisition of AMI TopCo, Inc. and Subsidiaries (“AMI”) in a cash-and-stock transaction for total consideration of approximately $1.6 billion, subject to customary adjustments for AMI’s working capital, transaction expenses, cash, and indebtedness as of the closing. AMI is a leading provider of platform firmware and infrastructure manageability for cloud and AI infrastructure, servers, clients, and embedded devices. We acquired AMI to combine our FPGA products with AMI’s platform firmware and infrastructure manageability solutions, expanding our capabilities and addressable opportunities in cloud and AI data center infrastructure as well as the other markets we serve. The results of operations for AMI commencing July 27, 2026 are included in our unaudited Consolidated Financial Statements. See “Note 4 - Business Combination and Goodwill” for additional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 and Use of Estimates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and have been prepared in accordance with U.S. Generally Accepted Accounting Principles (“U.S. GAAP”) and pursuant to the rules and regulations of the U.S. Securities and Exchange Commission (“SEC”). In our opinion, they include all adjustments, consisting only of normal recurring adjustments, necessary for the fair presentation of results for the interim periods. Certain information and footnote disclosures normally included in financial statements prepared in accordance with U.S. GAAP have been condensed or omitted as permitted by the SEC’s rules and regulations for interim reporting. These Consolidated Financial Statements should be read in conjunction with our audited financial statements and notes thereto included in our Annual Report on Form 10-K for the year ended January 3, 2026 (“2025 10-K”). Certain prior year balances have been reclassified to conform to the current year’s presentation.</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judgments affecting the amounts reported in our consolidated condensed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the actual results that we experience may differ materially from these estimates under different assumptions or conditions. We evaluate our estimates and judgments on an ongoing basis.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describe our accounting methods and practices in more detail in our 2025 10-K. Other than as described below, there have been no changes to the significant accounting policies, procedures, or general information described in our 2025 10-K that have had a material impact on our consolidated condensed financial statements and the accompanying notes. As a result of the acquisition of AMI, we have updated our revenue recognition accounting policy to address its specific revenue types that are described in the following policy. During 2026, we initiated foreign currency hedging activities and, as a result, include the below additional accounting policies related to fair value and financial instruments.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the terms of ASC 606, “Revenue from Contracts with Customers,” we recognize revenue when we satisfy performance obligations as evidenced by the transfer of control of our products or services to customers. We generate revenue primarily from sales of silicon-based products, including FPGAs and related solutions, and from intellectual property (“IP”) licensing, royalties and related support services. We also generate revenue from professional and other services.</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For sales to distributors, we have concluded that our contracts are with the distributor, rather than with the distributor’s end customer, as we hold a contract bearing enforceable rights and obligations only with the distributor. We consider customer purchase orders, which in some cases are governed by master sales agreements, to be the contracts with a customer. For each contract, we consider our promise to transfer each distinct product to be the identified performance obligation. We recognize silicon-based product revenue from sales to direct customers and distributors when control transfers to the customer.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IP licensing revenue is comprised of revenue from AMI firmware licensing, FPGA IP core licensing, and patent monetization activities. We consider licensing arrangements with our customers and agreements with the standards consortia of which we are a member to be the contracts. For each contract, we consider the promise to deliver a license that grants the customer the right to use the IP as a distinct performance obligation. We recognize license revenue at the point in time that control of the license transfers to the customer, which is generally upon delivery. Certain contracts also include sales-based or usage-based royalties. We recognize royalty revenue at the later of when the subsequent sale or usage occurs and when the performance obligation to which the royalty relates has been satisfied.</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Support services revenue consists primarily of AMI firmware support, updates and quality-assurance services. We recognize revenue from these stand-ready services ratably over the contract term.</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Professional and other services consist of non-recurring engineering (“NRE”) arrangements, technology integration and consulting services. Revenue from these arrangements is generally recognized as the services are performed based on a fixed fee or the time and resources incurred.</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Substantially all of our performance obligations are satisfied within twelve months, except for certain AMI firmware support arrangements that extend beyond twelve months.</w:t>
      </w:r>
    </w:p>
    <w:p>
      <w:pPr>
        <w:spacing w:after="0" w:line="162"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We allocate the transaction price to each performance obligation based on its relative Standalone Selling Price (“SSP”). We determine SSP using observable standalone sales when available. When observable standalone sales are not available, we estimate SSP using relevant information, which may include expected costs, market conditions, pricing practices and other entity- and customer-specific factors.</w:t>
      </w:r>
    </w:p>
    <w:p>
      <w:pPr>
        <w:spacing w:after="0" w:line="176"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We measure revenue based on the amount of consideration we expect to be entitled to in exchange for products or services. Variable consideration is estimated and reflected as an adjustment to the transaction price. We determine variable consideration, which consists primarily of various sales price concessions, by estimating the most likely amount of consideration we expect to receive from the customer based on an analysis of historical rebate claims over a period of time considered adequate to account for current pricing and business trends. Sales rebates earned by customers are offset against their receivable balances. Rebates earned by customers when they do not have outstanding receivable balances are recorded within Accrued liabilities.</w:t>
      </w:r>
    </w:p>
    <w:p>
      <w:pPr>
        <w:spacing w:after="0" w:line="16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generally provide an assurance warranty that our products will substantially conform to the published specifications for twelve months from the date of shipment. In some cases, the warranty period may be longer than twelve months. We do not separately price or sell the assurance warranty. Our liability is limited to either a credit equal to the purchase price or replacement of the defective part.</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Under the practical expedient provided by ASC 340-40, we generally expense sales commissions when incurred because the amortization period would be less than one year. We record these costs within Selling, general, and administrative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1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 (ASC 820)</w:t>
      </w:r>
      <w:r>
        <w:rPr>
          <w:rFonts w:ascii="Times New Roman" w:cs="Times New Roman" w:eastAsia="Times New Roman" w:hAnsi="Times New Roman"/>
          <w:sz w:val="18"/>
          <w:szCs w:val="18"/>
          <w:color w:val="auto"/>
        </w:rPr>
        <w:t>, to our assets and liabilities that we are required to measure at fair value pursuant to other accounting standards, including our derivative financial instruments. When determining fair value, we consider the principal or most advantageous market in which we would transact, as well as assumptions that market participants would use when pricing the asset or liability. All our financial assets and liabilities are measured and recorded at fair value on a recurring basis.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 Fiscal 2026, we began to use derivative financial instruments to manage our exposure to foreign currency exchange rate risk. We have entered into foreign currency forward contracts in relation to certain operating expense activities denominated in currencies other than the U.S. Dollar, and these contracts generally mature within 12 months. We account for these instruments in accordance with ASC 815, Derivatives and Hedging (ASC 815), which requires that every derivative instrument be recorded as either an asset or liability measured at its fair value as of each reporting date.</w:t>
      </w:r>
    </w:p>
    <w:p>
      <w:pPr>
        <w:spacing w:after="0" w:line="180"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ASC 815 also requires that changes in the fair values of our derivatives be recognized in earnings, unless specific hedge accounting and documentation criteria are met. The accounting for changes in the fair value of a derivative depends on the intended use of the derivative and the resulting designation. Our foreign currency contracts are designated as cash flow hedges. As such, we record the change in fair value of a derivative in Other comprehensive income (loss), and the change is reclassified to earnings in the period that the hedged item affects earnings.</w:t>
      </w:r>
    </w:p>
    <w:p>
      <w:pPr>
        <w:spacing w:after="0" w:line="180" w:lineRule="exact"/>
        <w:rPr>
          <w:sz w:val="20"/>
          <w:szCs w:val="20"/>
          <w:color w:val="auto"/>
        </w:rPr>
      </w:pPr>
    </w:p>
    <w:p>
      <w:pPr>
        <w:jc w:val="center"/>
        <w:ind w:right="320"/>
        <w:spacing w:after="0" w:line="454" w:lineRule="auto"/>
        <w:rPr>
          <w:sz w:val="20"/>
          <w:szCs w:val="20"/>
          <w:color w:val="auto"/>
        </w:rPr>
      </w:pPr>
      <w:r>
        <w:rPr>
          <w:rFonts w:ascii="Times New Roman" w:cs="Times New Roman" w:eastAsia="Times New Roman" w:hAnsi="Times New Roman"/>
          <w:sz w:val="18"/>
          <w:szCs w:val="18"/>
          <w:color w:val="auto"/>
        </w:rPr>
        <w:t>As of October 3, 2026, the notional value of our outstanding foreign currency forward contracts designated as cash flow hedges was $29.7 million. - 11 -</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Fiscal Reporting Periods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report based on a 52 or 53-week fiscal year ending on the Saturday closest to December 31. Our fiscal 2026 will be a 52-week year and will end on January 2, 2027, and our fiscal 2025 was a 53-week year that ended January 3, 2026. Our third quarter of fiscal 2026 and third quarter of fiscal 2025 ended on October 3, 2026 and September 27, 2025, respectively. All references to quarterly financial results are references to the results for the relevant 13-week or 39-week fiscal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Concentrations of Risk</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Potential exposure to concentrations of risk may impact revenue, trade accounts receivable, cash and cash equivalents, and supply of wafers for our new products. Sales to distributors have historically accounted for a significant portion of our total revenue. Revenue attributable to distributors as a percentage of total revenue was 81% and 83% for the third quarter of fiscal 2026 and 2025, respectively, and 89% and 82% for the first nine months of fiscal 2026 and 2025, respectively.</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Distributors also account for a substantial portion of our net accounts receivable. Our two largest distributors account for 50% and 33%, respectively, of net accounts receivable at October 3, 2026 and 62% and 28%, respectively, of net accounts receivable at January 3, 2026. Concentration of credit risk with respect to trade accounts receivable is mitigated by our credit and collection process including active management of collections, credit limits, routine credit evaluations for essentially all customers, and secure transactions with letters of credit or advance payments where appropriate. We regularly review our allowance for doubtful accounts and the aging of our accounts receivable.</w:t>
      </w:r>
    </w:p>
    <w:p>
      <w:pPr>
        <w:spacing w:after="0" w:line="183"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We limit our risk exposure related to cash and cash equivalents by placing our cash with high credit quality financial institutions. At times, such deposits may exceed Federal Deposit Insurance Corporation insurance limits. We have not experienced any losses on our deposits of cash and cash equivalents.</w:t>
      </w:r>
    </w:p>
    <w:p>
      <w:pPr>
        <w:spacing w:after="0" w:line="14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rely on a limited number of foundries for our wafer purchases and partners for our assembly and test operations. We seek to mitigate the concentration of supply risk by establishing, maintaining, and managing multiple foundry and partner relationships; however, certain of our products are sourced from a single supplier and changing from one supplier to another can have a significant cost, or create delays in production or shipments, among other factors.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left="120" w:right="2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new guidance requires public entities to provide disaggregated disclosures,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to the financial statements, of certain categories of expenses that are included in expense line items on the face of the income statement. The ASU may be applied prospectively or retrospectively and is effective for fiscal years beginning after December 15, 2026 and for interim periods beginning after December 15, 2027. Early adoption is permitted. We are currently evaluating the impact of adoption of this new guidance on our consolidated financial statements and disclosures.</w:t>
      </w:r>
    </w:p>
    <w:p>
      <w:pPr>
        <w:spacing w:after="0" w:line="182" w:lineRule="exact"/>
        <w:rPr>
          <w:sz w:val="20"/>
          <w:szCs w:val="20"/>
          <w:color w:val="auto"/>
        </w:rPr>
      </w:pPr>
    </w:p>
    <w:p>
      <w:pPr>
        <w:ind w:left="120" w:right="220"/>
        <w:spacing w:after="0" w:line="275"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the Accounting for Internal-Use Software</w:t>
      </w:r>
      <w:r>
        <w:rPr>
          <w:rFonts w:ascii="Times New Roman" w:cs="Times New Roman" w:eastAsia="Times New Roman" w:hAnsi="Times New Roman"/>
          <w:sz w:val="17"/>
          <w:szCs w:val="17"/>
          <w:color w:val="auto"/>
        </w:rPr>
        <w:t>. This ASU is intended to simplify the recognition and disclosure guidance related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capitalized internal-use software costs by removing all references to software development project stages and introducing a more judgment-based framework. ASU 2025-06 is effective for fiscal years beginning after December 15, 2027, and for interim periods within those fiscal years, with early adoption permitted as of the beginning of a fiscal year. This standard may be applied prospectively, retrospectively, or via a modified prospective transition method. We are currently evaluating the impact of adoption of this new guidance on our consolidated financial statements and disclosures.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Net Income per Share</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compute basic earnings per share based on the weighted average number of shares of common stock outstanding during the period. We compute diluted earnings per share based on the weighted average number of shares of common stock outstanding plus potentially dilutive shares of common stock outstanding during the period, if applicable. Potentially dilutive shares of common stock from employee equity incentive awards are determined by applying the treasury stock method to the assumed exercise of outstanding stock options, the assumed vesting of outstanding restricted stock units ("RSUs") and restricted stock awards ("RSAs"), and the assumed issuance of common stock under the stock purchase plan.</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Our calculation of potentially dilutive shares includes the number of shares from our equity awards with market conditions or performance conditions that would be issuable under the terms of such awards at the end of the reporting period. For equity awards with a market condition, the number of shares included in the diluted share count as of the end of each period presented is determined by measuring the achievement of the market condition as of the end of the respective reporting periods. For equity awards with a performance condition, the number of shares that qualified for vesting as of the end of each period presented are included in the diluted share count when the condition for their issuance was satisfied by the end of the respective reporting periods. See "</w:t>
      </w:r>
      <w:r>
        <w:rPr>
          <w:rFonts w:ascii="Times New Roman" w:cs="Times New Roman" w:eastAsia="Times New Roman" w:hAnsi="Times New Roman"/>
          <w:sz w:val="18"/>
          <w:szCs w:val="18"/>
          <w:u w:val="single" w:color="auto"/>
          <w:color w:val="auto"/>
        </w:rPr>
        <w:t>Note 10 - Stock-Based Compensation</w:t>
      </w:r>
      <w:r>
        <w:rPr>
          <w:rFonts w:ascii="Times New Roman" w:cs="Times New Roman" w:eastAsia="Times New Roman" w:hAnsi="Times New Roman"/>
          <w:sz w:val="18"/>
          <w:szCs w:val="18"/>
          <w:color w:val="auto"/>
        </w:rPr>
        <w:t>" to our consolidated financial statements for further discussion of our equity awards with market conditions or performance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basic and diluted Net income per share is presented in the following table: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40" w:type="dxa"/>
            <w:vAlign w:val="bottom"/>
            <w:tcBorders>
              <w:top w:val="single" w:sz="8" w:color="auto"/>
            </w:tcBorders>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560" w:type="dxa"/>
            <w:vAlign w:val="bottom"/>
          </w:tcPr>
          <w:p>
            <w:pPr>
              <w:spacing w:after="0"/>
              <w:rPr>
                <w:sz w:val="10"/>
                <w:szCs w:val="10"/>
                <w:color w:val="auto"/>
              </w:rPr>
            </w:pPr>
          </w:p>
        </w:tc>
        <w:tc>
          <w:tcPr>
            <w:tcW w:w="12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52,382</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in basic Net income per share</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140,863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136,877</w:t>
            </w:r>
          </w:p>
        </w:tc>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138,242</w:t>
            </w:r>
          </w:p>
        </w:tc>
        <w:tc>
          <w:tcPr>
            <w:tcW w:w="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employee equity incentive awards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3,076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diluted Net income per share</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143,772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138,103</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141,318</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computation of diluted Net income per share excludes the effects of employee equity incentive awards that are antidilutive, aggregating to</w:t>
      </w:r>
    </w:p>
    <w:p>
      <w:pPr>
        <w:spacing w:after="0" w:line="27"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0.4 million and 0.7 million shares, respectively, for the third quarter of fiscal 2026 and 2025 and to 0.3 million and 0.9 million shares, respectively, for the first nine months of fiscal 2026 and 2025.</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following tables provide information about revenue from contracts with customers disaggregated by channel and by geographical market. Revenue is attributed to geographic regions based on the ship-to location of the customer. The Greater China geography includes revenue associated with shipments to both Hong Kong and mainland China. Products shipped to Hong Kong may subsequently be transferred to mainland China or other destinations, and products shipped to mainland China may similarly move through intermediary locations.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by Channel</w:t>
            </w:r>
          </w:p>
        </w:tc>
        <w:tc>
          <w:tcPr>
            <w:tcW w:w="1360" w:type="dxa"/>
            <w:vAlign w:val="bottom"/>
          </w:tcPr>
          <w:p>
            <w:pPr>
              <w:spacing w:after="0"/>
              <w:rPr>
                <w:sz w:val="15"/>
                <w:szCs w:val="15"/>
                <w:color w:val="auto"/>
              </w:rPr>
            </w:pPr>
          </w:p>
        </w:tc>
        <w:tc>
          <w:tcPr>
            <w:tcW w:w="232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86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80" w:type="dxa"/>
            <w:vAlign w:val="bottom"/>
            <w:gridSpan w:val="4"/>
          </w:tcPr>
          <w:p>
            <w:pPr>
              <w:jc w:val="right"/>
              <w:ind w:right="560"/>
              <w:spacing w:after="0" w:line="115"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0" w:type="dxa"/>
            <w:vAlign w:val="bottom"/>
          </w:tcPr>
          <w:p>
            <w:pPr>
              <w:spacing w:after="0"/>
              <w:rPr>
                <w:sz w:val="10"/>
                <w:szCs w:val="10"/>
                <w:color w:val="auto"/>
              </w:rPr>
            </w:pPr>
          </w:p>
        </w:tc>
        <w:tc>
          <w:tcPr>
            <w:tcW w:w="1080" w:type="dxa"/>
            <w:vAlign w:val="bottom"/>
            <w:gridSpan w:val="3"/>
          </w:tcPr>
          <w:p>
            <w:pPr>
              <w:ind w:left="60"/>
              <w:spacing w:after="0" w:line="115"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4"/>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160" w:type="dxa"/>
            <w:vAlign w:val="bottom"/>
            <w:gridSpan w:val="3"/>
          </w:tcPr>
          <w:p>
            <w:pPr>
              <w:ind w:left="140"/>
              <w:spacing w:after="0" w:line="115"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1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$235,503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110,992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$587,822</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$309,339</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Direct</w:t>
            </w:r>
          </w:p>
        </w:tc>
        <w:tc>
          <w:tcPr>
            <w:tcW w:w="1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55,532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22,357</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75,189</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68,131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291,035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133,349</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663,011</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377,470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Geographical Market</w:t>
            </w:r>
          </w:p>
        </w:tc>
        <w:tc>
          <w:tcPr>
            <w:tcW w:w="1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6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2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$163,050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64,805</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$406,203</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$185,636</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2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24,769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11,509</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59,518</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29,056</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17,769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957</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8,464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14,891</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24,279</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Asia</w:t>
            </w:r>
          </w:p>
        </w:tc>
        <w:tc>
          <w:tcPr>
            <w:tcW w:w="1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6,883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7,498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1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220,935</w:t>
            </w:r>
          </w:p>
        </w:tc>
        <w:tc>
          <w:tcPr>
            <w:tcW w:w="180" w:type="dxa"/>
            <w:vAlign w:val="bottom"/>
            <w:vMerge w:val="continue"/>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86,711</w:t>
            </w:r>
          </w:p>
        </w:tc>
        <w:tc>
          <w:tcPr>
            <w:tcW w:w="160" w:type="dxa"/>
            <w:vAlign w:val="bottom"/>
            <w:vMerge w:val="continue"/>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512,871</w:t>
            </w:r>
          </w:p>
        </w:tc>
        <w:tc>
          <w:tcPr>
            <w:tcW w:w="160" w:type="dxa"/>
            <w:vAlign w:val="bottom"/>
            <w:vMerge w:val="continue"/>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247,426</w:t>
            </w:r>
          </w:p>
        </w:tc>
        <w:tc>
          <w:tcPr>
            <w:tcW w:w="160" w:type="dxa"/>
            <w:vAlign w:val="bottom"/>
            <w:vMerge w:val="continue"/>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2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46,449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24,871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88,347</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81,751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1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23,651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21,767</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61,793</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48,293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291,035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133,349</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663,011</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377,470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0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- 13 -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contract assets relate primarily to our rights to consideration for (1) AMI firmware licensing and related royalties, and (2) for licenses and royalties due to us as a member of the HDMI Founders consortium. The balance results primarily from (1) the amount of revenue recognized for AMI firmware licenses and estimated royalties not yet invoiced or received, and (2) the amount of estimated revenue related to HDMI licenses and royalties that we have recognized to date, but which has not yet been distributed to us by the HDMI licensing agent. Contract assets are included in Prepaid expenses and other current assets on our Consolidated Balance Sheets. The following table summarizes activity during the first nine months of fiscal 2026:</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 as of January 3,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7,669</w:t>
            </w: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 acquired in AMI acquisition</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16,123</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 recorded during the period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15,828</w:t>
            </w:r>
          </w:p>
        </w:tc>
      </w:tr>
      <w:tr>
        <w:trPr>
          <w:trHeight w:val="223"/>
        </w:trPr>
        <w:tc>
          <w:tcPr>
            <w:tcW w:w="2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Transferred to Accounts receivable or collected</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(18,457)</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 as of October 3, 2026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Contract liabilities are included in Accrued liabilities and Other long-term liabilities on our Consolidated Balance Sheets. The following table summarizes activity during the first nine months of fiscal 2026:</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 as of January 3,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 assumed in AMI acquisition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Unperformed performance obligations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recognized from satisfied performance obligations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Accruals for estimated future stock rotation and scrap returns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Release of accruals for recognized stock rotation and scrap returns</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(3,378)</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 as of October 3, 2026</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contract liabilities (included in Accrued liabilities)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(35,020)</w:t>
            </w: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portion of contract liabilities (included in Other long-term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of October 3, 2026, the aggregate transaction price allocated to unsatisfied or partially unsatisfied performance obligations for our non-cancellable contracts was $20.4 million. The amount primarily relates to fixed considerations allocated to AMI firmware support, updates and quality-assurance services. As a practical expedient, we have not included contracts that have an original duration of one year or less, nor have we included contracts with sales-based or usage-based royalties promised in exchange for a license of IP. The Company expects to recognize the majority of the unsatisfied performance obligations within the next two years.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Business Combination and Goodwill</w:t>
      </w:r>
    </w:p>
    <w:p>
      <w:pPr>
        <w:spacing w:after="0" w:line="33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July 27, 2026 (the “Closing Date”), the Company and AMI TopCo, Inc. (“AMI”) consummated the transactions contemplated by the Agreement and Plan of Merger and Reorganization, dated as of May 4, 2026 (the “Merger Agreement”). Under the terms of the Merger Agreement, the Company acquired all of the issued and outstanding shares of AMI (the “AMI Acquisition”), for consideration of cash and shares of Lattice common stock transferred to the holders of AMI common stock and holders of vested AMI options to purchase AMI common stock on the Closing Date as well as additional cash payable for favorable changes to working capital from the estimated amount used as of the Closing Date as compared to the actual amount as of the Closing Date.</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funded the cash consideration for the AMI Acquisition (including refinancing outstanding indebtedness of AMI) from cash on hand and borrowings pursuant to the Second Amended and Restated Credit Agreement (the “2026 Credit Agreement”), which provides for a senior secured revolving loan facility of $200 million and a senior secured delayed draw term loan facility of $950 million. Pursuant to the 2026 Credit Agreement, the Company borrowed $925 million in aggregate principal amount of loans under the delayed draw term loan facility at the Closing Date, and a portion of these proceeds were used to fund the cash consideration of the AMI Acquisition.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Consideration</w:t>
      </w:r>
    </w:p>
    <w:p>
      <w:pPr>
        <w:spacing w:after="0" w:line="25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Lattice common stock issued for outstanding AMI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582,760</w:t>
            </w: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outstanding AMI common stock and vested options to purchase AMI</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733,492</w:t>
            </w:r>
          </w:p>
        </w:tc>
      </w:tr>
      <w:tr>
        <w:trPr>
          <w:trHeight w:val="198"/>
        </w:trPr>
        <w:tc>
          <w:tcPr>
            <w:tcW w:w="6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payable for outstanding AMI common stock and vested options to purchase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AMI common stock</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Cash paid by Lattice to retire AMI’s credit agreement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272,224</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1,589,664</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We allocated the purchase price to tangible and identified intangible assets acquired and liabilities assumed based on their estimated fair values. These fair values were based on estimates and assumptions made by management at the time of the AMI Acquisition, as well as additional information available as of the date of issuance of these financial statements. As further additional information becomes available, we may further revise our purchase price allocation during the remainder of the measurement period, which will not exceed 12 months from the Closing Date. Any such revisions or changes may be material. While all aspects of the accounting for the AMI Acquisition remain preliminary, the areas with the most significant preliminary amounts pertain to the fair values of intangible assets and goodwill, and the related effect of the transaction on income tax related accounts, including deferred taxes, as well as the determination of net working capital as calculated under the terms of the Merger Agreement as of the Closing</w:t>
      </w:r>
    </w:p>
    <w:p>
      <w:pPr>
        <w:sectPr>
          <w:pgSz w:w="11900" w:h="16838" w:orient="portrait"/>
          <w:cols w:equalWidth="0" w:num="1">
            <w:col w:w="11080"/>
          </w:cols>
          <w:pgMar w:left="320" w:top="482" w:right="499" w:bottom="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Date. The Company will continue to adjust the provisional estimates as additional information becomes available and final valuation and analyses are completed.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preliminary allocation of the total purchase price:</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73"/>
        </w:trPr>
        <w:tc>
          <w:tcPr>
            <w:tcW w:w="6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acquired:</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1,054,139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 acquired</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1,734,463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contract liabilities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 net of current portion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1,589,664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- 14 -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440" w:top="121"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goodwill recognized in the AMI Acquisition is primarily attributable to the assembled workforce, future growth opportunities, and economies of scale expected from the integration of the AMI business.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details of the identified intangible assets acquired through the AMI Acquisition:</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538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256,000</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 / trademarks</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37,000</w:t>
            </w:r>
          </w:p>
        </w:tc>
        <w:tc>
          <w:tcPr>
            <w:tcW w:w="4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identified intangible assets subject to amortization</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At the Closing Date, the aggregate tax basis of the acquired identifiable intangible assets and goodwill was $127.6 million, consisting of $68.0 million attributable to identifiable intangible assets and $59.6 million attributable to goodwill, which are expected to be deductible for tax purposes.</w:t>
      </w:r>
    </w:p>
    <w:p>
      <w:pPr>
        <w:spacing w:after="0" w:line="162"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operations of AMI and its subsidiaries have been included in the Company’s Consolidated Statements of Operations and Comprehensive Income from the Closing Date. From the Closing Date through October 3, 2026, AMI contributed revenue of $39.1 million and incurred a net loss of $14.4 million. Transaction costs of $21.7 million related to the AMI Acquisition for the fiscal quarter ended October 3, 2026 were primarily included in Acquisition related expense on our Consolidated Statements of Operations.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financial information gives effect to the AMI Acquisition as if it had been completed on December 29, 2024. The unaudited pro forma information was prepared in accordance with the requirements of ASC 805, which is a different basis than pro forma information prepared under Article 11 of Regulation S-X (“Article 11”). As such, it is not directly comparable with historical results for the Company on a stand-alone basis prior to July 27, 2026, historical results for the Company from July 27, 2026 that reflect the AMI Acquisition and are inclusive of the results and operations of AMI, nor our previously provided pro forma financials prepared in accordance with Article 11. The pro forma results for the three and nine months ended October 3, 2026 and September 27, 2025, include the impact of several adjustments to previously reported operating results. The pro forma adjustments are based on historically reported transactions by the respective companies. The pro forma results do not include any anticipated synergies or other expected benefits of the AMI Acquisition.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Significant nonrecurring pro forma adjustments include:</w:t>
      </w:r>
    </w:p>
    <w:p>
      <w:pPr>
        <w:spacing w:after="0" w:line="131" w:lineRule="exact"/>
        <w:rPr>
          <w:sz w:val="20"/>
          <w:szCs w:val="20"/>
          <w:color w:val="auto"/>
        </w:rPr>
      </w:pPr>
    </w:p>
    <w:p>
      <w:pPr>
        <w:ind w:left="1080" w:right="3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$21.7 million and $8.6 million of one-time compensation expenses paid to certain AMI employees are assumed to have occurred on December 29, 2024, and are recognized as if incurred in the first quarter of 2025;</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financing issued and debt redemptions occurring in connection with the closing of the AMI Acquisition are assumed to have occurred on December 29, 2024, and historical interest expense associated with repaid borrowings is removed;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and intangible assets are assumed to be recorded at their assigned fair values as of the pro forma close date of December 29, 2024 and are depreciated or amortized over their estimated useful lives;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accounting policies of AMI are conformed to those of the Company.</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selected unaudited pro forma condensed combined financial information is provided for illustrative purposes only and does not purport to represent what the actual consolidated results of operations would have been had the AMI Acquisition actually occurred on December 29, 2024, nor do they purport to project the future consolidated results of operations.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6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tcBorders>
              <w:bottom w:val="single" w:sz="8" w:color="CCEEFF"/>
            </w:tcBorders>
            <w:vMerge w:val="continue"/>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309,894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785,879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96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24,761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(23,394)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27,461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(85,409)</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underlying net tangible and intangible assets acquired in business combinations. The goodwill balance of $1,369.5 million at October 3, 2026 is comprised of $1,054.1 million from the AMI Acquisition assigned to the AMI segment and $315.4 million from prior acquisitions assigned to the FPGA segment.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Intangible Assets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AMI Acquisition, previous acquisitions, and purchases of certain intellectual property assets, we have recorded identifiable intangible assets related to developed technology, customer relationships, and trade name / trademarks. We amortize these intangible assets to Amortization of acquired intangible assets using the straight-line method over their estimated useful lives of 7 to 10 years. Additionally, we have entered into license agreements for third-party technology and recorded them as intangible assets. These licenses are being amortized to Research and development expense over their estimated useful lives of 1 to 10 years.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tables summarize the details of our Intangible assets, net as of October 3, 2026 and January 3, 2026:</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12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8"/>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40" w:type="dxa"/>
            <w:vAlign w:val="bottom"/>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44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60" w:type="dxa"/>
            <w:vAlign w:val="bottom"/>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4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$383,687</w:t>
            </w:r>
          </w:p>
        </w:tc>
        <w:tc>
          <w:tcPr>
            <w:tcW w:w="5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(131,601)</w:t>
            </w:r>
          </w:p>
        </w:tc>
        <w:tc>
          <w:tcPr>
            <w:tcW w:w="4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$252,086</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8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288,734</w:t>
            </w: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(37,587)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251,147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 / trademarks</w:t>
            </w:r>
          </w:p>
        </w:tc>
        <w:tc>
          <w:tcPr>
            <w:tcW w:w="2680" w:type="dxa"/>
            <w:vAlign w:val="bottom"/>
            <w:gridSpan w:val="2"/>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7"/>
              </w:rPr>
              <w:t>7.0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38,500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35,998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Licensed technology</w:t>
            </w:r>
          </w:p>
        </w:tc>
        <w:tc>
          <w:tcPr>
            <w:tcW w:w="268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w w:val="97"/>
              </w:rPr>
              <w:t>7.5</w:t>
            </w:r>
          </w:p>
        </w:tc>
        <w:tc>
          <w:tcPr>
            <w:tcW w:w="4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29,590</w:t>
            </w: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(9,103)</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20,487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740,511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(180,793)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559,718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- 15 -</w:t>
            </w: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880" w:top="133" w:right="8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12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8"/>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vMerge w:val="continue"/>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$125,037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(124,539)</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(32,734)</w:t>
            </w:r>
          </w:p>
        </w:tc>
        <w:tc>
          <w:tcPr>
            <w:tcW w:w="16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 / trademarks</w:t>
            </w:r>
          </w:p>
        </w:tc>
        <w:tc>
          <w:tcPr>
            <w:tcW w:w="12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Licensed technology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4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(6,973)</w:t>
            </w: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169,889</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(165,746)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recorded amortization expense related to intangible assets on the Consolidated Statements of Operations as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8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gridSpan w:val="4"/>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38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6,987</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6,987</w:t>
            </w: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977</w:t>
            </w:r>
          </w:p>
        </w:tc>
        <w:tc>
          <w:tcPr>
            <w:tcW w:w="6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577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5,891</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5,930</w:t>
            </w:r>
          </w:p>
        </w:tc>
        <w:tc>
          <w:tcPr>
            <w:tcW w:w="4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54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$ 15,047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annual expected amortization expense related to intangible assets is as follows: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2026 (Remaining quarter)</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18,156</w:t>
            </w:r>
          </w:p>
        </w:tc>
        <w:tc>
          <w:tcPr>
            <w:tcW w:w="460" w:type="dxa"/>
            <w:vAlign w:val="bottom"/>
            <w:tcBorders>
              <w:left w:val="single" w:sz="8" w:color="CCEEFF"/>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71,895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70,534</w:t>
            </w:r>
          </w:p>
        </w:tc>
        <w:tc>
          <w:tcPr>
            <w:tcW w:w="460" w:type="dxa"/>
            <w:vAlign w:val="bottom"/>
            <w:tcBorders>
              <w:left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70,033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69,529</w:t>
            </w:r>
          </w:p>
        </w:tc>
        <w:tc>
          <w:tcPr>
            <w:tcW w:w="460" w:type="dxa"/>
            <w:vAlign w:val="bottom"/>
            <w:tcBorders>
              <w:left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259,571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3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559,718</w:t>
            </w:r>
          </w:p>
        </w:tc>
        <w:tc>
          <w:tcPr>
            <w:tcW w:w="460" w:type="dxa"/>
            <w:vAlign w:val="bottom"/>
            <w:tcBorders>
              <w:left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June 30, 2026, we entered into a Second Amended and Restated Credit Agreement (the "2026 Credit Agreement"), which provides for a senior secured revolving loan facility ("revolving loans") in an aggregate principal amount of $200 million and a senior secured delayed draw term loan facility ("term loans") in an aggregate principal amount of $950 million (collectively, "long-term debt"). The 2026 Credit Agreement amended and restated in its entirety our Amended and Restated Credit Agreement, dated as of September 1, 2022 (the “2022 Credit Agreement”). On July 27, 2026, in connection with the completion of the AMI Acquisition, we borrowed $925 million under the term loans pursuant to the 2026 Credit Agreement, the proceeds of which were used to pay a portion of the cash purchase price consideration for the AMI Acquisition (including refinancing outstanding indebtedness of AMI) and to pay fees, commissions, and expenses incurred in connection with the AMI Acquisition. Following the borrowing of $925 million under the term loans, the remaining $25 million of undrawn commitments under the term loans expired on the closing date of the AMI Acquisition. Fees incurred in association with the 2026 Credit Agreement totaled $6.6 million.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loans are payable in required quarterly installments beginning with the first full fiscal quarter after the term loans are borrowed, equal to</w:t>
      </w:r>
    </w:p>
    <w:p>
      <w:pPr>
        <w:spacing w:after="0" w:line="27" w:lineRule="exact"/>
        <w:rPr>
          <w:sz w:val="20"/>
          <w:szCs w:val="20"/>
          <w:color w:val="auto"/>
        </w:rPr>
      </w:pPr>
    </w:p>
    <w:p>
      <w:pPr>
        <w:ind w:left="120" w:right="220"/>
        <w:spacing w:after="0" w:line="271" w:lineRule="auto"/>
        <w:rPr>
          <w:sz w:val="20"/>
          <w:szCs w:val="20"/>
          <w:color w:val="auto"/>
        </w:rPr>
      </w:pPr>
      <w:r>
        <w:rPr>
          <w:rFonts w:ascii="Times New Roman" w:cs="Times New Roman" w:eastAsia="Times New Roman" w:hAnsi="Times New Roman"/>
          <w:sz w:val="17"/>
          <w:szCs w:val="17"/>
          <w:color w:val="auto"/>
        </w:rPr>
        <w:t>1.250% of the original principal amount of the term loans for the first four fiscal quarters following the funding date, 1.875% of the original principal amount of the term loans for the fifth through twelfth fiscal quarters following the funding date, and 2.5% of the original principal amount of the term loans for each fiscal quarter thereafter, with the remaining principal amount and accrued and unpaid interest being due and payable on June 30, 2031. The term loans may be prepaid by the Company at any time in whole or in part, subject to certain minimum thresholds, without penalty or premium, subject to customary breakage costs for certain types of loans. The term loans are subject to customary mandatory prepayment requirements.</w:t>
      </w:r>
    </w:p>
    <w:p>
      <w:pPr>
        <w:spacing w:after="0" w:line="174"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The proceeds of the revolving loans under the 2026 Credit Agreement may be used for working capital and general corporate purposes. Revolving loans may be repaid and reborrowed at our discretion, with any remaining outstanding principal amount due and payable on the maturity date of the revolving loans on June 30, 2031. We pay a quarterly commitment fee on the unused portion of the revolving loan ranging from 0.15% to 0.25% per annum based on ranges determined by our consolidated total leverage ratio.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2026 Credit Agreement contains customary affirmative and negative covenants, including covenants limiting the ability of the Company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2026 Credit Agreement. We are also required to maintain compliance with a consolidated total net leverage ratio and a consolidated interest coverage ratio, in each case, determined in accordance with the terms of the 2026 Credit Agreement. At October 3, 2026, we were in compliance with all covenants under the 2026 Credit Agreement.</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Loans under our 2026 Credit Agreement accrue interest at a per annum rate based on ranges determined by our consolidated total leverage ratio. At our option, interest accrues at either (a) the base rate (as defined in the 2026 Credit Agreement) plus a margin ranging from 0.00% to 0.75%, or (b) a term Secured Overnight Financing Rate (“SOFR”) for interest periods of 1, 3 or 6 months plus a margin ranging from 1.00% to 1.75%. Interest is payable quarterly in arrears with respect to borrowings bearing interest at the base rate or on the last day of an interest period, but at least every three months, with respect to borrowings bearing interest at the term SOFR rate.</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account for debt issuance costs as a reduction to the carrying value of our long-term debt on our Consolidated Balance Sheets. We amortize the debt issuance costs to Interest (expense) income, net in our Consolidated Statements of Operations over the contractual term using the effective interest method. Discretionary prepayments of long-term debt are accounted for as partial retirements, and the portion of the unamortized debt issuance costs related to the discretionary prepayments are expensed and included in Other (expense) income, net on our Consolidated Statements of Operations. In the third quarter of fiscal 2026, we expensed $0.4 million of unamortized debt issuance costs associated with the 2026 Credit Agreement upon discretionary payments made on our long-term debt. We determine the Current portion of long-term debt as the sum of the required quarterly installments to be made over the next twelve months, reduced by the debt issuance costs to be amortized over the next twelve months.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third quarter of fiscal 2026, we made principal payments totaling $50.0 million under the 2026 Credit Agreement, which satisfied</w:t>
      </w:r>
    </w:p>
    <w:p>
      <w:pPr>
        <w:spacing w:after="0" w:line="27" w:lineRule="exact"/>
        <w:rPr>
          <w:sz w:val="20"/>
          <w:szCs w:val="20"/>
          <w:color w:val="auto"/>
        </w:rPr>
      </w:pPr>
    </w:p>
    <w:p>
      <w:pPr>
        <w:jc w:val="both"/>
        <w:ind w:left="120" w:right="440"/>
        <w:spacing w:after="0" w:line="255" w:lineRule="auto"/>
        <w:rPr>
          <w:sz w:val="20"/>
          <w:szCs w:val="20"/>
          <w:color w:val="auto"/>
        </w:rPr>
      </w:pPr>
      <w:r>
        <w:rPr>
          <w:rFonts w:ascii="Times New Roman" w:cs="Times New Roman" w:eastAsia="Times New Roman" w:hAnsi="Times New Roman"/>
          <w:sz w:val="18"/>
          <w:szCs w:val="18"/>
          <w:color w:val="auto"/>
        </w:rPr>
        <w:t>the required quarterly installments to be made over the next twelve months. At January 3, 2026, we had no borrowings outstanding under the 2022 Credit Agreement. The fair value of our long-term debt approximates the carrying value, which is reflected in our Consolidated Balance Sheets as follows:</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22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3"/>
        </w:trPr>
        <w:tc>
          <w:tcPr>
            <w:tcW w:w="5200" w:type="dxa"/>
            <w:vAlign w:val="bottom"/>
            <w:vMerge w:val="continue"/>
          </w:tcPr>
          <w:p>
            <w:pPr>
              <w:spacing w:after="0"/>
              <w:rPr>
                <w:sz w:val="15"/>
                <w:szCs w:val="15"/>
                <w:color w:val="auto"/>
              </w:rPr>
            </w:pPr>
          </w:p>
        </w:tc>
        <w:tc>
          <w:tcPr>
            <w:tcW w:w="196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original issuance discount and debt costs</w:t>
            </w:r>
          </w:p>
        </w:tc>
        <w:tc>
          <w:tcPr>
            <w:tcW w:w="1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unamortized debt issue costs</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869,080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As of October 3, 2026, the effective interest rate on the term loan was 5.76%, and we had no balance drawn on the revolving loan. Interest expense related to our long-term debt was included in Interest expense on our Consolidated Statements of Operations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1,325</w:t>
            </w:r>
          </w:p>
        </w:tc>
        <w:tc>
          <w:tcPr>
            <w:tcW w:w="6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related to long-term debt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11,147</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Expected future principal payments are based on the schedule of required quarterly installments. With the discretionary prepayments we made during the third quarter of fiscal 2026, our next required quarterly installment is due in the fourth quarter of fiscal 2027. As of October 3, 2026, expected future principal payments on our long-term debt were as follows: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36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quarter)</w:t>
            </w:r>
          </w:p>
        </w:tc>
        <w:tc>
          <w:tcPr>
            <w:tcW w:w="2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13,594</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69,375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75,156</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92,500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624,375</w:t>
            </w:r>
          </w:p>
        </w:tc>
      </w:tr>
      <w:tr>
        <w:trPr>
          <w:trHeight w:val="27"/>
        </w:trPr>
        <w:tc>
          <w:tcPr>
            <w:tcW w:w="4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875,000</w:t>
            </w:r>
          </w:p>
        </w:tc>
      </w:tr>
      <w:tr>
        <w:trPr>
          <w:trHeight w:val="20"/>
        </w:trPr>
        <w:tc>
          <w:tcPr>
            <w:tcW w:w="4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Prior to entering into the 2026 Credit Agreement and for the period in which the amendment was being prepared, we arranged for a commitment letter for a 1-year Senior Secured Bridge Facility (the “bridge facility”). Fees associated with the bridge facility commitments totaled $5.6 million, of which $0.9 million was amortized to Interest income (expense), net on our Consolidated Statements of Operations. With the execution of the 2026 Credit Agreement, the remaining $4.7 million of unamortized debt issuance costs associated with the bridge facility and $0.2 million of unamortized debt issuance costs associated with the 2022 Credit Agreement were expensed and are included in Other (expense) income, net on our Consolidated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Balance Sheet Components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Accounts receivable do not bear interest and are shown net of an allowance for expected lifetime credit losses, which reflects our best estimate of probable losses inherent in the accounts receivable balance, as described in our 2025 10-K.</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3"/>
        </w:trPr>
        <w:tc>
          <w:tcPr>
            <w:tcW w:w="6580" w:type="dxa"/>
            <w:vAlign w:val="bottom"/>
            <w:vMerge w:val="continue"/>
          </w:tcPr>
          <w:p>
            <w:pPr>
              <w:spacing w:after="0"/>
              <w:rPr>
                <w:sz w:val="15"/>
                <w:szCs w:val="15"/>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8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320" w:top="482" w:right="47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162,629</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102,277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680" w:type="dxa"/>
            <w:vAlign w:val="bottom"/>
            <w:vMerge w:val="continue"/>
          </w:tcPr>
          <w:p>
            <w:pPr>
              <w:spacing w:after="0"/>
              <w:rPr>
                <w:sz w:val="15"/>
                <w:szCs w:val="15"/>
                <w:color w:val="auto"/>
              </w:rPr>
            </w:pPr>
          </w:p>
        </w:tc>
        <w:tc>
          <w:tcPr>
            <w:tcW w:w="15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3"/>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8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$ 99,689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$ 69,031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gridSpan w:val="2"/>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1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inventories, net</w:t>
            </w:r>
          </w:p>
        </w:tc>
        <w:tc>
          <w:tcPr>
            <w:tcW w:w="17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120,577</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$ 89,202</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 Geographic Information</w:t>
            </w: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Property and equipment, net by country at the end of each period was as follows: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680" w:type="dxa"/>
            <w:vAlign w:val="bottom"/>
            <w:vMerge w:val="continue"/>
          </w:tcPr>
          <w:p>
            <w:pPr>
              <w:spacing w:after="0"/>
              <w:rPr>
                <w:sz w:val="15"/>
                <w:szCs w:val="15"/>
                <w:color w:val="auto"/>
              </w:rPr>
            </w:pPr>
          </w:p>
        </w:tc>
        <w:tc>
          <w:tcPr>
            <w:tcW w:w="152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3"/>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$ 40,601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$ 40,338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8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11,524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1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16,074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3,532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foreign property and equipment, net</w:t>
            </w:r>
          </w:p>
        </w:tc>
        <w:tc>
          <w:tcPr>
            <w:tcW w:w="860" w:type="dxa"/>
            <w:vAlign w:val="bottom"/>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59,099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$ 99,700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$ 77,032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jc w:val="right"/>
              <w:ind w:right="1213"/>
              <w:spacing w:after="0"/>
              <w:rPr>
                <w:sz w:val="20"/>
                <w:szCs w:val="20"/>
                <w:color w:val="auto"/>
              </w:rPr>
            </w:pPr>
            <w:r>
              <w:rPr>
                <w:rFonts w:ascii="Times New Roman" w:cs="Times New Roman" w:eastAsia="Times New Roman" w:hAnsi="Times New Roman"/>
                <w:sz w:val="18"/>
                <w:szCs w:val="18"/>
                <w:color w:val="auto"/>
              </w:rPr>
              <w:t>- 17 -</w:t>
            </w: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15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Included in Accrued liabilities in the Consolidated Balance Sheets are the following balances: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24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260" w:type="dxa"/>
            <w:vAlign w:val="bottom"/>
            <w:vMerge w:val="continue"/>
          </w:tcPr>
          <w:p>
            <w:pPr>
              <w:spacing w:after="0"/>
              <w:rPr>
                <w:sz w:val="15"/>
                <w:szCs w:val="15"/>
                <w:color w:val="auto"/>
              </w:rPr>
            </w:pPr>
          </w:p>
        </w:tc>
        <w:tc>
          <w:tcPr>
            <w:tcW w:w="940" w:type="dxa"/>
            <w:vAlign w:val="bottom"/>
            <w:gridSpan w:val="2"/>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contract liabilities</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$ 35,020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liability for non-cancellable contracts</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20,308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$ 86,733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$ 30,594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Included in Other long-term liabilities in the Consolidated Balance Sheets are the following balances: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w:t>
            </w:r>
          </w:p>
        </w:tc>
        <w:tc>
          <w:tcPr>
            <w:tcW w:w="24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260" w:type="dxa"/>
            <w:vAlign w:val="bottom"/>
            <w:vMerge w:val="continue"/>
          </w:tcPr>
          <w:p>
            <w:pPr>
              <w:spacing w:after="0"/>
              <w:rPr>
                <w:sz w:val="15"/>
                <w:szCs w:val="15"/>
                <w:color w:val="auto"/>
              </w:rPr>
            </w:pPr>
          </w:p>
        </w:tc>
        <w:tc>
          <w:tcPr>
            <w:tcW w:w="940" w:type="dxa"/>
            <w:vAlign w:val="bottom"/>
            <w:gridSpan w:val="2"/>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liability for non-cancellable contracts</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$ 15,698</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$ 15,266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2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Our facilities for corporate offices, sales offices, research and development facilities, storage facilities, and a data center are leased under operating leases, which expire at various times through 2037. Our leases have remaining lease terms of less than 1 year up to 10 years, some of which include options to extend for up to 5 years, and some of which include options to terminate within 1 year. The weighted-average remaining lease term was 6.8 years and the weighted-average discount rate was 5.3% as of October 3, 2026.</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recorded fixed operating lease expenses of $2.8 million and $1.7 million for the third quarter of fiscal 2026 and 2025, respectively, and $7.4 million and $6.1 million for the first nine months of fiscal 2026 and 2025, respectively.</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balance classifications within the Consolidated Balance Sheets and summarizes their activity during the first nine months of fiscal 2026:</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 right-of-use assets</w:t>
            </w:r>
          </w:p>
        </w:tc>
        <w:tc>
          <w:tcPr>
            <w:tcW w:w="4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3"/>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Balance as of January 3, 2026</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39,459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00" w:type="dxa"/>
            <w:vAlign w:val="bottom"/>
            <w:gridSpan w:val="3"/>
          </w:tcPr>
          <w:p>
            <w:pPr>
              <w:ind w:left="720"/>
              <w:spacing w:after="0" w:line="198" w:lineRule="exact"/>
              <w:rPr>
                <w:sz w:val="20"/>
                <w:szCs w:val="20"/>
                <w:color w:val="auto"/>
              </w:rPr>
            </w:pPr>
            <w:r>
              <w:rPr>
                <w:rFonts w:ascii="Times New Roman" w:cs="Times New Roman" w:eastAsia="Times New Roman" w:hAnsi="Times New Roman"/>
                <w:sz w:val="18"/>
                <w:szCs w:val="18"/>
                <w:color w:val="auto"/>
              </w:rPr>
              <w:t>Right-of-use assets obtained for new or renewed lease contracts during</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the period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Fair value of right-of-use assets acquired in AMI acquisition</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20,025</w:t>
            </w:r>
          </w:p>
        </w:tc>
        <w:tc>
          <w:tcPr>
            <w:tcW w:w="0" w:type="dxa"/>
            <w:vAlign w:val="bottom"/>
          </w:tcPr>
          <w:p>
            <w:pPr>
              <w:spacing w:after="0"/>
              <w:rPr>
                <w:sz w:val="1"/>
                <w:szCs w:val="1"/>
                <w:color w:val="auto"/>
              </w:rPr>
            </w:pPr>
          </w:p>
        </w:tc>
      </w:tr>
      <w:tr>
        <w:trPr>
          <w:trHeight w:val="216"/>
        </w:trPr>
        <w:tc>
          <w:tcPr>
            <w:tcW w:w="6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Amortization of right-of-use assets during the period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(5,808)</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Adjustments for present value and foreign currency effects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Balance as of October 3, 2026</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 liabilities</w:t>
            </w:r>
          </w:p>
        </w:tc>
        <w:tc>
          <w:tcPr>
            <w:tcW w:w="4620" w:type="dxa"/>
            <w:vAlign w:val="bottom"/>
            <w:gridSpan w:val="2"/>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580" w:type="dxa"/>
            <w:vAlign w:val="bottom"/>
            <w:tcBorders>
              <w:bottom w:val="single" w:sz="8" w:color="auto"/>
            </w:tcBorders>
            <w:vMerge w:val="continue"/>
          </w:tcPr>
          <w:p>
            <w:pPr>
              <w:spacing w:after="0"/>
              <w:rPr>
                <w:sz w:val="24"/>
                <w:szCs w:val="24"/>
                <w:color w:val="auto"/>
              </w:rPr>
            </w:pPr>
          </w:p>
        </w:tc>
        <w:tc>
          <w:tcPr>
            <w:tcW w:w="4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3"/>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Balance as of January 3, 2026</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42,107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00" w:type="dxa"/>
            <w:vAlign w:val="bottom"/>
            <w:gridSpan w:val="3"/>
          </w:tcPr>
          <w:p>
            <w:pPr>
              <w:ind w:left="720"/>
              <w:spacing w:after="0" w:line="198" w:lineRule="exact"/>
              <w:rPr>
                <w:sz w:val="20"/>
                <w:szCs w:val="20"/>
                <w:color w:val="auto"/>
              </w:rPr>
            </w:pPr>
            <w:r>
              <w:rPr>
                <w:rFonts w:ascii="Times New Roman" w:cs="Times New Roman" w:eastAsia="Times New Roman" w:hAnsi="Times New Roman"/>
                <w:sz w:val="18"/>
                <w:szCs w:val="18"/>
                <w:color w:val="auto"/>
              </w:rPr>
              <w:t>Lease liabilities accrued for new or renewed lease contracts during the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period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Fair value of lease liabilities assumed in AMI acquisition</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18,965</w:t>
            </w:r>
          </w:p>
        </w:tc>
        <w:tc>
          <w:tcPr>
            <w:tcW w:w="0" w:type="dxa"/>
            <w:vAlign w:val="bottom"/>
          </w:tcPr>
          <w:p>
            <w:pPr>
              <w:spacing w:after="0"/>
              <w:rPr>
                <w:sz w:val="1"/>
                <w:szCs w:val="1"/>
                <w:color w:val="auto"/>
              </w:rPr>
            </w:pPr>
          </w:p>
        </w:tc>
      </w:tr>
      <w:tr>
        <w:trPr>
          <w:trHeight w:val="216"/>
        </w:trPr>
        <w:tc>
          <w:tcPr>
            <w:tcW w:w="6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cash used for payments on lease liabilities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(8,091)</w:t>
            </w:r>
          </w:p>
        </w:tc>
        <w:tc>
          <w:tcPr>
            <w:tcW w:w="0" w:type="dxa"/>
            <w:vAlign w:val="bottom"/>
          </w:tcPr>
          <w:p>
            <w:pPr>
              <w:spacing w:after="0"/>
              <w:rPr>
                <w:sz w:val="1"/>
                <w:szCs w:val="1"/>
                <w:color w:val="auto"/>
              </w:rPr>
            </w:pPr>
          </w:p>
        </w:tc>
      </w:tr>
      <w:tr>
        <w:trPr>
          <w:trHeight w:val="223"/>
        </w:trPr>
        <w:tc>
          <w:tcPr>
            <w:tcW w:w="6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Adjustments for present value and foreign currency effects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as of October 3, 2026</w:t>
            </w: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00" w:type="dxa"/>
            <w:vAlign w:val="bottom"/>
            <w:gridSpan w:val="3"/>
          </w:tcPr>
          <w:p>
            <w:pPr>
              <w:ind w:left="720"/>
              <w:spacing w:after="0" w:line="198" w:lineRule="exact"/>
              <w:rPr>
                <w:sz w:val="20"/>
                <w:szCs w:val="20"/>
                <w:color w:val="auto"/>
              </w:rPr>
            </w:pPr>
            <w:r>
              <w:rPr>
                <w:rFonts w:ascii="Times New Roman" w:cs="Times New Roman" w:eastAsia="Times New Roman" w:hAnsi="Times New Roman"/>
                <w:sz w:val="18"/>
                <w:szCs w:val="18"/>
                <w:color w:val="auto"/>
              </w:rPr>
              <w:t>Less: Current portion of operating lease liabilities (included in Accrued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 net of current portion</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48,857</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3540"/>
              <w:spacing w:after="0"/>
              <w:rPr>
                <w:sz w:val="20"/>
                <w:szCs w:val="20"/>
                <w:color w:val="auto"/>
              </w:rPr>
            </w:pPr>
            <w:r>
              <w:rPr>
                <w:rFonts w:ascii="Times New Roman" w:cs="Times New Roman" w:eastAsia="Times New Roman" w:hAnsi="Times New Roman"/>
                <w:sz w:val="18"/>
                <w:szCs w:val="18"/>
                <w:color w:val="auto"/>
              </w:rPr>
              <w:t>- 18 -</w:t>
            </w: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2" w:right="539" w:bottom="1440" w:gutter="0" w:footer="0" w:header="0"/>
        </w:sectPr>
      </w:pPr>
    </w:p>
    <w:bookmarkStart w:id="23" w:name="page24"/>
    <w:bookmarkEnd w:id="23"/>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Maturities of operating lease liabilities as of October 3, 2026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03"/>
        </w:trPr>
        <w:tc>
          <w:tcPr>
            <w:tcW w:w="4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2026 (Remaining quarter)</w:t>
            </w:r>
          </w:p>
        </w:tc>
        <w:tc>
          <w:tcPr>
            <w:tcW w:w="1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11,800</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10,691</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7,807</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8,207</w:t>
            </w:r>
          </w:p>
        </w:tc>
      </w:tr>
      <w:tr>
        <w:trPr>
          <w:trHeight w:val="2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29,060</w:t>
            </w:r>
          </w:p>
        </w:tc>
        <w:tc>
          <w:tcPr>
            <w:tcW w:w="100" w:type="dxa"/>
            <w:vAlign w:val="bottom"/>
          </w:tcPr>
          <w:p>
            <w:pPr>
              <w:spacing w:after="0"/>
              <w:rPr>
                <w:sz w:val="19"/>
                <w:szCs w:val="19"/>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68,552</w:t>
            </w:r>
          </w:p>
        </w:tc>
      </w:tr>
      <w:tr>
        <w:trPr>
          <w:trHeight w:val="216"/>
        </w:trPr>
        <w:tc>
          <w:tcPr>
            <w:tcW w:w="680" w:type="dxa"/>
            <w:vAlign w:val="bottom"/>
          </w:tcPr>
          <w:p>
            <w:pPr>
              <w:spacing w:after="0"/>
              <w:rPr>
                <w:sz w:val="18"/>
                <w:szCs w:val="18"/>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(12,324)</w:t>
            </w:r>
          </w:p>
        </w:tc>
      </w:tr>
      <w:tr>
        <w:trPr>
          <w:trHeight w:val="27"/>
        </w:trPr>
        <w:tc>
          <w:tcPr>
            <w:tcW w:w="6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6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56,228</w:t>
            </w:r>
          </w:p>
        </w:tc>
      </w:tr>
      <w:tr>
        <w:trPr>
          <w:trHeight w:val="20"/>
        </w:trPr>
        <w:tc>
          <w:tcPr>
            <w:tcW w:w="6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Segment Reporting</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October 3, 2026, we have determined that the Company now operates in two operating and reportable segments: the FPGA business (which includes silicon-based and silicon-enabling products, evaluation boards, development hardware, and related intellectual property licensing, services, and sales), and the acquired AMI business (which includes products and services for the Boot Firmware and Manageability &amp; Security groups). Our segments are strategic business units that offer distinct products and services that are managed accordingly. At this time, there are no internal revenue transactions between our reportable segments. The accounting policies of the segments are consistent with those described in our significant accounting policies and practices.</w:t>
      </w:r>
    </w:p>
    <w:p>
      <w:pPr>
        <w:spacing w:after="0" w:line="18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Each segment has separate financial information that is utilized on a regular basis by the CODM in determining how to allocate resources and evaluate performance. Our CODM assesses the performance of each segment and allocates resources to each segment based on operating profit results and financial information of the two reportable segments and does not evaluate each segment using discrete asset information. Operating results by segment include items that are directly attributable to each segment and also include shared expenses such as marketing, general and administrative activities, facilities, and information technology expenses. Shared expenses are primarily allocated based on percentage of operating expenses or headcount.</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report the results of our remaining business activities in Unallocated, which includes certain expense items that are not used in evaluating the results of or in allocating resources to our segments. Unallocated does not include any revenue amounts. Specifically, the items in Unallocated include stock-based compensation expense, amortization of acquired intangible assets, acquisition related costs, and restructuring.</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revenue, significant expenses, and operating income by its two operating and reportable segments for the periods indicated:</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4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FPGA</w:t>
            </w:r>
          </w:p>
        </w:tc>
        <w:tc>
          <w:tcPr>
            <w:tcW w:w="18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5"/>
              </w:rPr>
              <w:t>251,934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623,910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AMI</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39,101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39,101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291,035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663,011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FPGA</w:t>
            </w:r>
          </w:p>
        </w:tc>
        <w:tc>
          <w:tcPr>
            <w:tcW w:w="18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73,530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181,836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AMI</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11,562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11,562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Unallocated (1)</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9,823</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14,529</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8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94,915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207,927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120,464</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FPGA</w:t>
            </w:r>
          </w:p>
        </w:tc>
        <w:tc>
          <w:tcPr>
            <w:tcW w:w="18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77,036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208,080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AMI</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15,380</w:t>
            </w: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15,380</w:t>
            </w: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Unallocated (2)</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79,736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159,235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79,418</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172,152</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382,695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FPGA</w:t>
            </w:r>
          </w:p>
        </w:tc>
        <w:tc>
          <w:tcPr>
            <w:tcW w:w="18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5"/>
              </w:rPr>
              <w:t>101,368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233,994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AMI</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12,159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12,159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Unallocated (1)(2)</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(89,559)</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(173,764)</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8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23,968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72,389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stock compensation &amp; related tax expense and acquired intangible assets amortization.</w:t>
      </w:r>
    </w:p>
    <w:p>
      <w:pPr>
        <w:spacing w:after="0" w:line="27"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stock compensation &amp; related tax expense, acquired intangible assets amortization, and acquisition-related and restructuring expense.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 included in our Consolidated Statements of Operations is presented in the following table: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1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2,766</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7,058</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22,086</w:t>
            </w: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15,103</w:t>
            </w:r>
          </w:p>
        </w:tc>
        <w:tc>
          <w:tcPr>
            <w:tcW w:w="1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52,608</w:t>
            </w: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34,977</w:t>
            </w:r>
          </w:p>
        </w:tc>
        <w:tc>
          <w:tcPr>
            <w:tcW w:w="0" w:type="dxa"/>
            <w:vAlign w:val="bottom"/>
          </w:tcPr>
          <w:p>
            <w:pPr>
              <w:spacing w:after="0"/>
              <w:rPr>
                <w:sz w:val="1"/>
                <w:szCs w:val="1"/>
                <w:color w:val="auto"/>
              </w:rPr>
            </w:pPr>
          </w:p>
        </w:tc>
      </w:tr>
    </w:tbl>
    <w:p>
      <w:pPr>
        <w:sectPr>
          <w:pgSz w:w="11900" w:h="16936" w:orient="portrait"/>
          <w:cols w:equalWidth="0" w:num="1">
            <w:col w:w="11080"/>
          </w:cols>
          <w:pgMar w:left="320" w:top="482" w:right="49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25,440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18,710</w:t>
            </w: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63,098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41,053</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$ 50,292</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122,764</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- 19 -</w:t>
            </w: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880" w:top="153" w:right="8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Market-Based and Performance-Based Stock Compensation</w:t>
      </w:r>
    </w:p>
    <w:p>
      <w:pPr>
        <w:spacing w:after="0" w:line="121" w:lineRule="exact"/>
        <w:rPr>
          <w:sz w:val="20"/>
          <w:szCs w:val="20"/>
          <w:color w:val="auto"/>
        </w:rPr>
      </w:pPr>
    </w:p>
    <w:p>
      <w:pPr>
        <w:ind w:left="120" w:right="40"/>
        <w:spacing w:after="0" w:line="233" w:lineRule="auto"/>
        <w:rPr>
          <w:sz w:val="20"/>
          <w:szCs w:val="20"/>
          <w:color w:val="auto"/>
        </w:rPr>
      </w:pPr>
      <w:r>
        <w:rPr>
          <w:rFonts w:ascii="Times New Roman" w:cs="Times New Roman" w:eastAsia="Times New Roman" w:hAnsi="Times New Roman"/>
          <w:sz w:val="18"/>
          <w:szCs w:val="18"/>
          <w:color w:val="auto"/>
        </w:rPr>
        <w:t>In the second and third quarters of fiscal 2026, we granted awards of restricted stock units (“RSUs”) with a market condition to members of our executive leadership team (“ELT”) and certain other senior executives. Under the terms of these grants, the RSUs with a market condition vest over a three-year period based on the Company’s total shareholder return (“TSR”) relative to the Russell 3000 index. The awards may vest at 250% or 200% (depending on the executive) if the 75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 of the market condition is achieved, at 100% if the 55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 of the market condition is achieved, and at 0% if the relative TSR is below the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 Vesting is interpolated on a straight-line basis for market condition achievement between the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percentiles. For grants to members of the ELT, the market condition will be measured on the third anniversary of the grant date. For grants to other senior executives, the market condition will be measured equally on the first, second, and third anniversary of the grant date, using calendar years 2026, 2027, and 2028, respectively, as the measurement period for each of the three tranches.</w:t>
      </w:r>
    </w:p>
    <w:p>
      <w:pPr>
        <w:spacing w:after="0" w:line="202" w:lineRule="exact"/>
        <w:rPr>
          <w:sz w:val="20"/>
          <w:szCs w:val="20"/>
          <w:color w:val="auto"/>
        </w:rPr>
      </w:pPr>
    </w:p>
    <w:p>
      <w:pPr>
        <w:ind w:left="120" w:right="160"/>
        <w:spacing w:after="0" w:line="225" w:lineRule="auto"/>
        <w:rPr>
          <w:sz w:val="20"/>
          <w:szCs w:val="20"/>
          <w:color w:val="auto"/>
        </w:rPr>
      </w:pPr>
      <w:r>
        <w:rPr>
          <w:rFonts w:ascii="Times New Roman" w:cs="Times New Roman" w:eastAsia="Times New Roman" w:hAnsi="Times New Roman"/>
          <w:sz w:val="18"/>
          <w:szCs w:val="18"/>
          <w:color w:val="auto"/>
        </w:rPr>
        <w:t>In connection with the acquisition of AMI in the third quarter of fiscal 2026, we granted awards of RSUs with a market condition to certain former employees of AMI. Under the terms of these grants, the RSUs with a market condition vest over a three-year period based on the Company’s TSR relative to the Russell 3000 index. The awards may vest at 200% if the 75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 of the market condition is achieved, at 100% if the 55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 of the market condition is achieved, and at 0% if the relative TSR is below the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 Vesting is interpolated on a straight-line basis for market condition achievement between the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percentiles. For the grants to AMI’s former CEO, the market condition will</w:t>
      </w:r>
    </w:p>
    <w:p>
      <w:pPr>
        <w:ind w:left="120" w:right="500"/>
        <w:spacing w:after="0" w:line="254" w:lineRule="auto"/>
        <w:rPr>
          <w:sz w:val="20"/>
          <w:szCs w:val="20"/>
          <w:color w:val="auto"/>
        </w:rPr>
      </w:pPr>
      <w:r>
        <w:rPr>
          <w:rFonts w:ascii="Times New Roman" w:cs="Times New Roman" w:eastAsia="Times New Roman" w:hAnsi="Times New Roman"/>
          <w:sz w:val="18"/>
          <w:szCs w:val="18"/>
          <w:color w:val="auto"/>
        </w:rPr>
        <w:t>be measured equally on the first, second, and third anniversary of the grant date, using calendar years 2026, 2027, and 2028, respectively, as the measurement period for each of the three tranches. For grants to other former AMI executives, the market condition will be measured on the third anniversary of the grant date.</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the first nine months of fiscal 2026, certain awards with a market condition granted in prior fiscal years vested. During the first quarter of fiscal 2026, the market condition for awards granted to certain executives in the first quarter of fiscal 2023 exceeded the 25th percentile of their TSR condition, and these awards vested at 87%. Also during the first quarter of fiscal 2026, the market condition for the first tranche of awards granted to certain executives in the first quarter of fiscal 2025 exceeded the 75th percentile of their TSR condition, and these awards vested at 200%. During the second quarter of fiscal 2026, the market condition for the second tranche of awards granted to a certain executive in the third quarter of fiscal 2024 exceeded the 75th percentile of their TSR condition, and these awards vested at 200%. During the third quarter of fiscal 2026, the market condition for awards granted to a certain executive in the third quarter of fiscal 2023 exceeded the 25th percentile of their TSR condition, and these awards vested at 96%.</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For our awards with a market condition or performance condition, we incurred stock-based compensation expense of $17.7 million and $17.9 million, respectively, in the third quarter of fiscal 2026 and 2025 and $50.6 million and $27.7 million, respectively, in the first nine months of fiscal 2026 and 2025. Stock-based compensation expense for the first nine months of 2026 included $9.6 million recorded in the second quarter of fiscal 2026 resulting from updates to the expected achievement of certain awards with a performance condition. These amounts are recorded as components of total stock-based compensation expense.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activity for our awards with a market condition or performance condition:</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3, 2026</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vesting multiplier</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October 3, 2026</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 Compensation Settled In Equity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our Corporate Incentive Plan, incentive payments may be made in cash or in shares of our Common Stock, or a combination of both, as determined at the discretion of the Compensation Committee of our Board of Directors. To the extent incentive payments are settled in equity under the 2023 Equity Incentive Plan, the number of shares of our Common Stock to be issued is determined by dividing the eligible employee’s incentive payment value by the 30-calendar day average closing price of our Common Stock during the period ending the day before the date of settlement. Under this methodology, the value of the shares of our Common Stock issued on the settlement date could differ from the incentive payment value accrued. Any shares of our Common Stock issued to settle incentive payments under this plan vest immediately upon issuance.</w:t>
      </w:r>
    </w:p>
    <w:p>
      <w:pPr>
        <w:spacing w:after="0" w:line="187"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results for the first nine months of fiscal 2026 include our settlement in the first quarter of fiscal 2026 of a portion of the incentive compensation accrued during fiscal 2025 by issuing shares of our Common Stock with a total value of $5.8 million to certain employees.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are subject to federal and state income tax as well as income tax in the foreign jurisdictions in which we operate. For the third quarter of fiscal 2026, we recorded income tax expense of $2.6 million, and for the third quarter of fiscal 2025, we recorded an income tax benefit of approximately</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$3.7 million. For the first nine months of fiscal 2026 and 2025, we recorded income tax expense of approximately $5.9 million and $1.4 million, respectively. The difference between the U.S. federal statutory tax rate of 21% and our effective tax rates for the three and nine months ended October 3, 2026 and the three and nine months ended September 27, 2025 resulted primarily from stock-based compensation expense, partially offset by foreign rate differentials and federal tax credits.</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amount of deferred tax assets that are more likely than not to be realized increased by $1.2 million related to a valuation allowance release resulting from the acquisition of AMI.</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portion of our uncertain tax positions (including penalties and interest) recorded as a liability was $1.9 million and $2.1 million at October 3, 2026 and January 3, 2026, respectively, and is included as a component of Other long-term liabilities on our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Restructuring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Under the Q3 2024 Plan, which is described in our 2025 10-K, we incurred restructuring costs of less than $0.1 million and $0.8 million, respectively, in the third quarter of fiscal 2026 and 2025 and $0.5 million and $2.4 million, respectively, in the first nine months of fiscal 2026 and 2025. Under this plan, $11.5 million of total costs have been incurred through October 3, 2026. All actions planned under the Q3 2024 Plan have been implemented.</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Other restructuring activity in the periods presented consisted of expense adjustments on previous plans. Costs and adjustments on restructuring plans are recorded to Restructuring and other on our Consolidated Statements of Operations. The restructuring accrual balance is presented in Accrued liabilities and in Other long-term liabilities on our Consolidated Balance Sheets. The following table displays the activity related to our restructuring plans:</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Severance &amp;</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gridSpan w:val="4"/>
            <w:vMerge w:val="continue"/>
          </w:tcPr>
          <w:p>
            <w:pPr>
              <w:spacing w:after="0"/>
              <w:rPr>
                <w:sz w:val="12"/>
                <w:szCs w:val="12"/>
                <w:color w:val="auto"/>
              </w:rPr>
            </w:pPr>
          </w:p>
        </w:tc>
        <w:tc>
          <w:tcPr>
            <w:tcW w:w="150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&amp;</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6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Restructuring at January 3, 2026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paid or otherwise settled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(1,468)</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Restructuring at October 3, 2026</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Restructuring at December 28, 2024</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paid or otherwise settled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(4,907)</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Restructuring at September 27, 2025</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Common Stock Repurchase Program</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On December 5, 2025, we announced that our Board of Directors had approved a stock repurchase program pursuant to which up to $250 million of outstanding common stock could be repurchased from time to time (the “2026 Repurchase Program”). The 2026 Repurchase Program has no termination date and may be suspended or discontinued at any time.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shares were repurchased during the third quarter of fiscal 2026. During the first nine months of fiscal 2026, we repurchased 165,913 shares for</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$15.0 million, for an average price paid per share of $90.41, under the 2026 Repurchase Program. All repurchases were open market transactions funded from available working capital. All shares repurchased pursuant to the 2026 Repurchase Program were retired upon settlement. As of October 3, 2026, the remaining portion of the amount authorized for the 2026 Repurchase Program is $235.0 million.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From time to time, we are exposed to certain additional asserted and unasserted potential claims. We review the status of each significant matter and assess its potential financial exposure. If the potential loss from any claim or legal proceeding is considered probable and a range of possible losses can be estimated, we then accrue a liability for the estimated loss. Legal proceedings are subject to uncertainties, and the outcomes are difficult to predict. Because of such uncertainties, accruals are based only on the best information available at the time. As additional information becomes available, we reassess the potential liability related to pending claims and litigation and may revise estimates.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along with the unaudited consolidated financial statements and notes thereto included in Part I, Item 1 of this Quarterly Report on Form 10-Q, as well as the audited consolidated financial statements and notes thereto and Management’s Discussion and Analysis of Financial Condition and Results of Operations in our 2025 10-K.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Lattice develops technologies that we monetize through differentiated programmable logic semiconductor products, silicon-enabling products, platform firmware and infrastructure manageability technology, system solutions, design services, and technology licenses. Lattice is the low power programmable and platform firmware leader. We solve customer problems across the network, from the Edge to the Cloud, in the Compute, Communications, Industrial, and Embedded markets. Our technology, long-standing relationships, and commitment to world-class support help our customers quickly and easily unleash their innovation to create a smart, secure, and connected world.</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Lattice has focused its strategy on delivering programmable logic products and related solutions based on low power, small size, and ease of use. With the addition of AMI’s industry-leading, silicon-neutral platform firmware and manageability solutions, Lattice can now deliver the industry’s most complete secure management and control platform for cloud and AI data center infrastructure. We also serve our customers with intellectual property (“IP”) licensing and various other services. Our product development activities include new proprietary products and solutions, advanced packaging, existing product enhancements, BIOS and manageability, software development tools, soft IP, and system solutions for high-growth applications such as data center and physical artificial intelligence, wireless and wireline infrastructure, platform security, and factory automation.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Critical accounting policies are those that are both most important to the portrayal of a company’s financial condition and results of operations, and that require management’s most difficult, subjective, and complex judgments, often as a result of the need to make estimates about the effect of matters that are inherently uncertain. Other than as described below, there have been no material changes to the items that we disclosed as our critical accounting policies and estimates in Management’s Discussion and Analysis of Financial Condition and Results of Operations in our 2025 10-K.</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judgments affecting the amounts reported in our consolidated condensed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actual results may differ materially from these estimates under different assumptions or conditions. We evaluate our estimates and judgments on an ongoing basis.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recognize revenue upon satisfaction of performance obligations when control of promised goods or services has been transferred to our customers. We measure revenue based on the amount of consideration we expect to be entitled to in exchange for products or services. See “</w:t>
      </w:r>
      <w:r>
        <w:rPr>
          <w:rFonts w:ascii="Times New Roman" w:cs="Times New Roman" w:eastAsia="Times New Roman" w:hAnsi="Times New Roman"/>
          <w:sz w:val="18"/>
          <w:szCs w:val="18"/>
          <w:u w:val="single" w:color="auto"/>
          <w:color w:val="auto"/>
        </w:rPr>
        <w:t>Note 1 -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Presentation and Significant Accounting Policies</w:t>
      </w:r>
      <w:r>
        <w:rPr>
          <w:rFonts w:ascii="Times New Roman" w:cs="Times New Roman" w:eastAsia="Times New Roman" w:hAnsi="Times New Roman"/>
          <w:sz w:val="18"/>
          <w:szCs w:val="18"/>
          <w:color w:val="auto"/>
        </w:rPr>
        <w:t>” to our Consolidated Financial Statements in Part I, Item 1 of this report for further information on our recognition of revenue.</w:t>
      </w:r>
    </w:p>
    <w:p>
      <w:pPr>
        <w:spacing w:after="0" w:line="178"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Distributor and royalty estimates. </w:t>
      </w:r>
      <w:r>
        <w:rPr>
          <w:rFonts w:ascii="Times New Roman" w:cs="Times New Roman" w:eastAsia="Times New Roman" w:hAnsi="Times New Roman"/>
          <w:sz w:val="18"/>
          <w:szCs w:val="18"/>
          <w:color w:val="auto"/>
        </w:rPr>
        <w:t>For revenue recognized on sales to distributors and on royalties, the amount of consideration we expect to be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is based on estimates that require assumptions and judgments relating to trends in recent and historical activity and, for usage-based royalties where licensee reports are not yet available, estimates of licensee sales or usage. Sales to most distributors are made under terms allowing certain price adjustments upon sale to their end customers and limited rights of return of our products held in their inventory. The revenue recognized based on estimated price adjustments and stock rotation reserves may be materially different from the actual consideration received if actual distributor price adjustments and stock rotation returns differ significantly from the historical trends used in the estimates.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 Accounting</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fair value of the consideration the Company pays in an acquisition is allocated to tangible assets and identifiable intangible assets, liabilities assumed, and goodwill. The accounting for acquisitions involves a considerable amount of judgment and estimation, including the fair value of acquired intangible assets involving projections of future revenues and cash flows that are then either discounted at an estimated discount rate or measured at an estimated royalty rate; fair value of other acquired assets and assumed liabilities, including potential contingencies; and the useful lives of the acquired assets. The assumptions used are determined at the time of the acquisition in accordance with accepted valuation models. Projections are developed using internal forecasts, available industry and market data, and estimates of long-term rates of growth for the business. The judgments and estimates used in accounting for an acquisition have a significant impact on the values assigned to identified intangible assets and goodwill.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Results of operations for the third quarter and first nine months of fiscal 2026 include AMI only from the July 27, 2026 Closing Date, which affects period-over-period comparisons.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 elements of our Consolidated Statements of Operations, including as a percentage of revenue, are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7"/>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0"/>
                <w:szCs w:val="10"/>
                <w:color w:val="auto"/>
              </w:rPr>
            </w:pPr>
          </w:p>
        </w:tc>
        <w:tc>
          <w:tcPr>
            <w:tcW w:w="1440" w:type="dxa"/>
            <w:vAlign w:val="bottom"/>
            <w:gridSpan w:val="6"/>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tcPr>
          <w:p>
            <w:pPr>
              <w:jc w:val="right"/>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00" w:type="dxa"/>
            <w:vAlign w:val="bottom"/>
          </w:tcPr>
          <w:p>
            <w:pPr>
              <w:spacing w:after="0"/>
              <w:rPr>
                <w:sz w:val="10"/>
                <w:szCs w:val="10"/>
                <w:color w:val="auto"/>
              </w:rPr>
            </w:pPr>
          </w:p>
        </w:tc>
        <w:tc>
          <w:tcPr>
            <w:tcW w:w="1200" w:type="dxa"/>
            <w:vAlign w:val="bottom"/>
            <w:gridSpan w:val="3"/>
          </w:tcPr>
          <w:p>
            <w:pPr>
              <w:jc w:val="right"/>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291,035</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9"/>
              </w:rPr>
              <w:t>133,349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663,011</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377,470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196,120</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90,527</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455,084</w:t>
            </w: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257,006</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80,319</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49,633</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195,386</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134,550</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60,007</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41,402</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150,390</w:t>
            </w: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109,339</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5,930</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25,881</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30,310</w:t>
            </w: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1,006</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679</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2,938</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0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72,389</w:t>
            </w:r>
          </w:p>
        </w:tc>
        <w:tc>
          <w:tcPr>
            <w:tcW w:w="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by End Market</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During the first quarter of 2026, we aligned our end market structure to our larger strategic market focus areas. Within our FPGA segment, we sell our products globally to a broad base of customers in two primary end market groups: Compute and Communications, and Industrial and Embedded. AMI revenue reflects revenue recognized following the acquisition date and is presented as a separate end market beginning in the third quarter of 2026 as the AMI boot and firmware revenue model is distinctly different from the FPGA business, and it allows us to enhance comparability with prior disclosures. Across our end markets, our products are increasingly used for AI-related applications, including device usage in AI-optimized servers in data centers, AI-enabled PCs, and AI-enabled robotics and ADAS systems, among others. We also provide IP licensing and services to these end markets.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Within these end markets, there are multiple drivers, including:</w:t>
      </w:r>
    </w:p>
    <w:p>
      <w:pPr>
        <w:spacing w:after="0" w:line="131" w:lineRule="exact"/>
        <w:rPr>
          <w:sz w:val="20"/>
          <w:szCs w:val="20"/>
          <w:color w:val="auto"/>
        </w:rPr>
      </w:pPr>
    </w:p>
    <w:p>
      <w:pPr>
        <w:ind w:left="540" w:right="320" w:hanging="316"/>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 and Communications: data center servers, storage, and networking equipment, client computing platforms, and wireless and wireline communications infrastructure deployments,</w:t>
      </w:r>
    </w:p>
    <w:p>
      <w:pPr>
        <w:spacing w:after="0" w:line="67" w:lineRule="exact"/>
        <w:rPr>
          <w:rFonts w:ascii="Times New Roman" w:cs="Times New Roman" w:eastAsia="Times New Roman" w:hAnsi="Times New Roman"/>
          <w:sz w:val="18"/>
          <w:szCs w:val="18"/>
          <w:color w:val="auto"/>
        </w:rPr>
      </w:pPr>
    </w:p>
    <w:p>
      <w:pPr>
        <w:ind w:left="540" w:right="180" w:hanging="316"/>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and Embedded: factory automation, robotics, automotive electronics, and industrial Internet of Things (“IoT”), smart home, prosumer, and other applications,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 AI infrastructure build-out, data center security, control and manageability, hyperscaler; data center OEM, and ODM.</w:t>
      </w:r>
    </w:p>
    <w:p>
      <w:pPr>
        <w:spacing w:after="0" w:line="225"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The end market data we use is derived from data provided to us by our distributors and end customers. With a diverse base of customers who may manufacture end products spanning multiple end markets, the assignment of revenue to a specific end market requires the use of judgment. We also recognize certain revenue for which end customers and end markets are not yet known. We assign this revenue first to a specific end market using historical and anticipated usage of the specific products, if possible, and allocate the remainder to the end markets based on either historical usage for each product family or industry application data for certain product types.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are examples of end market applications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Compute and Communications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Industrial and Embedded</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AMI</w:t>
            </w: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Data Networking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Security and Surveillance</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Server Computing</w:t>
            </w:r>
          </w:p>
        </w:tc>
      </w:tr>
      <w:tr>
        <w:trPr>
          <w:trHeight w:val="216"/>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Server Computing</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Machine Vision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Data Center Manageability</w:t>
            </w:r>
          </w:p>
        </w:tc>
      </w:tr>
      <w:tr>
        <w:trPr>
          <w:trHeight w:val="216"/>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Client Computing</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Industrial Automation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Hyperscalers</w:t>
            </w:r>
          </w:p>
        </w:tc>
      </w:tr>
      <w:tr>
        <w:trPr>
          <w:trHeight w:val="216"/>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Data Storage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Robotics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Server Security</w:t>
            </w:r>
          </w:p>
        </w:tc>
      </w:tr>
      <w:tr>
        <w:trPr>
          <w:trHeight w:val="216"/>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Cloud</w:t>
            </w:r>
          </w:p>
        </w:tc>
        <w:tc>
          <w:tcPr>
            <w:tcW w:w="3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Automotive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Cloud</w:t>
            </w:r>
          </w:p>
        </w:tc>
      </w:tr>
      <w:tr>
        <w:trPr>
          <w:trHeight w:val="216"/>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Hyperscalers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Drones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 Infrastructure</w:t>
            </w:r>
          </w:p>
        </w:tc>
      </w:tr>
      <w:tr>
        <w:trPr>
          <w:trHeight w:val="216"/>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Wireless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Factory Automation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Industrial Automation</w:t>
            </w:r>
          </w:p>
        </w:tc>
      </w:tr>
      <w:tr>
        <w:trPr>
          <w:trHeight w:val="216"/>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Wireline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Cameras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Client Computing</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Displays / Televisions</w:t>
            </w:r>
          </w:p>
        </w:tc>
        <w:tc>
          <w:tcPr>
            <w:tcW w:w="34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Home Theater / Sound Systems</w:t>
            </w:r>
          </w:p>
        </w:tc>
        <w:tc>
          <w:tcPr>
            <w:tcW w:w="342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Wearables</w:t>
            </w:r>
          </w:p>
        </w:tc>
        <w:tc>
          <w:tcPr>
            <w:tcW w:w="3420" w:type="dxa"/>
            <w:vAlign w:val="bottom"/>
          </w:tcPr>
          <w:p>
            <w:pPr>
              <w:spacing w:after="0"/>
              <w:rPr>
                <w:sz w:val="20"/>
                <w:szCs w:val="20"/>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revenue by end market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0"/>
                <w:szCs w:val="10"/>
                <w:color w:val="auto"/>
              </w:rPr>
            </w:pPr>
          </w:p>
        </w:tc>
        <w:tc>
          <w:tcPr>
            <w:tcW w:w="1580" w:type="dxa"/>
            <w:vAlign w:val="bottom"/>
            <w:gridSpan w:val="6"/>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00" w:type="dxa"/>
            <w:vAlign w:val="bottom"/>
          </w:tcPr>
          <w:p>
            <w:pPr>
              <w:spacing w:after="0"/>
              <w:rPr>
                <w:sz w:val="10"/>
                <w:szCs w:val="10"/>
                <w:color w:val="auto"/>
              </w:rPr>
            </w:pPr>
          </w:p>
        </w:tc>
        <w:tc>
          <w:tcPr>
            <w:tcW w:w="1220" w:type="dxa"/>
            <w:vAlign w:val="bottom"/>
            <w:gridSpan w:val="3"/>
          </w:tcPr>
          <w:p>
            <w:pPr>
              <w:jc w:val="center"/>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5"/>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300" w:type="dxa"/>
            <w:vAlign w:val="bottom"/>
            <w:gridSpan w:val="3"/>
          </w:tcPr>
          <w:p>
            <w:pPr>
              <w:jc w:val="right"/>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 and Communications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$171,874</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74,027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$404,450</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$200,125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Embedded</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80,060</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59,322</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219,460</w:t>
            </w: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177,345</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AMI</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39,101</w:t>
            </w: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39,101</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291,035</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133,349</w:t>
            </w:r>
          </w:p>
        </w:tc>
        <w:tc>
          <w:tcPr>
            <w:tcW w:w="160" w:type="dxa"/>
            <w:vAlign w:val="bottom"/>
            <w:vMerge w:val="continue"/>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663,011</w:t>
            </w:r>
          </w:p>
        </w:tc>
        <w:tc>
          <w:tcPr>
            <w:tcW w:w="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377,470</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Note: Effective the first quarter of 2026, we began disaggregating our revenue by Compute and Communications, and Industrial and Embedded. Prior periods have been reclassified to match current period presentation.</w:t>
      </w:r>
    </w:p>
    <w:p>
      <w:pPr>
        <w:spacing w:after="0" w:line="160"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Revenue from the Compute and Communications end market increased by 132% for the third quarter of fiscal 2026 compared to the third quarter of fiscal 2025 and increased by 102% for the first nine months of fiscal 2026 compared to the first nine months of fiscal 2025 primarily due to stronger demand in data center applications, including general-purpose and AI-specific servers, as well as wireline networking components.</w:t>
      </w:r>
    </w:p>
    <w:p>
      <w:pPr>
        <w:spacing w:after="0" w:line="176"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Revenue from the Industrial and Embedded end market increased by 35% for the third quarter of fiscal 2026 compared to the third quarter of fiscal 2025 and increased by 24% for the first nine months of fiscal 2026 compared to the first nine months of fiscal 2025 primarily due to recovering end market demand particularly from industrial and aerospace customers.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Revenue from the AMI end market is primarily driven by the ongoing buildout of general purpose and AI server infrastructure, as hyperscalers, OEMs, and ODMs continue to expand their global data center footprints.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AI applications are pervasive across our end markets, so we do not consider AI applications as a distinct end market. We expect AI-related revenue to grow over the next few years based on the growing pipeline of AI-related design wins in a diverse set of applications across both of our end market groups.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by Geography</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 diverse base of customers where distributors represent a significant portion of our total revenue. Our revenue by geographical market is based on the ship-to location of our customers, which can vary from time to time. For the third quarter of fiscal 2026 compared to the third quarter of fiscal 2025 and for the first nine months of fiscal 2026 compared to the first nine months of fiscal 2025, revenue from Asia increased by 155% and 107%, respectively, primarily due to hyperscaler demand and the addition of AMI revenue, while revenue from the Americas increased by 87% and 8%, respectively, primarily due to the addition of AMI revenue partially offset by the non-recurrence of certain one-time sales in the prior year period, and revenue from Europe increased by 9% and 28%, respectively, primarily due to broad market recovery in this region.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revenue by geography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gridSpan w:val="6"/>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00" w:type="dxa"/>
            <w:vAlign w:val="bottom"/>
          </w:tcPr>
          <w:p>
            <w:pPr>
              <w:spacing w:after="0"/>
              <w:rPr>
                <w:sz w:val="10"/>
                <w:szCs w:val="10"/>
                <w:color w:val="auto"/>
              </w:rPr>
            </w:pPr>
          </w:p>
        </w:tc>
        <w:tc>
          <w:tcPr>
            <w:tcW w:w="1620" w:type="dxa"/>
            <w:vAlign w:val="bottom"/>
            <w:gridSpan w:val="5"/>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300" w:type="dxa"/>
            <w:vAlign w:val="bottom"/>
            <w:gridSpan w:val="3"/>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$220,935</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86,711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$512,871</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$247,426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46,449</w:t>
            </w:r>
          </w:p>
        </w:tc>
        <w:tc>
          <w:tcPr>
            <w:tcW w:w="8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24,871</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88,347</w:t>
            </w: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13.3</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81,751</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21,767</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16.3</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61,793</w:t>
            </w: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48,293</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291,035</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133,349</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663,011</w:t>
            </w:r>
          </w:p>
        </w:tc>
        <w:tc>
          <w:tcPr>
            <w:tcW w:w="1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377,470</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tcPr>
          <w:p>
            <w:pPr>
              <w:spacing w:after="0"/>
              <w:rPr>
                <w:sz w:val="24"/>
                <w:szCs w:val="24"/>
                <w:color w:val="auto"/>
              </w:rPr>
            </w:pPr>
          </w:p>
        </w:tc>
        <w:tc>
          <w:tcPr>
            <w:tcW w:w="132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- 24 -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from Customers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sell our products to independent distributors and directly to customers. Distributors have historically accounted for a significant portion of our total revenue. Revenue attributable to distributors as a percentage of total revenue was 81% and 83% for the third quarter of fiscal 2026 and 2025, respectively, and 89% and 82% for the first nine months of fiscal 2026 and 2025,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Gross margin, including as a percentage of revenue, is presented in the following table: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2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10"/>
                <w:szCs w:val="10"/>
                <w:color w:val="auto"/>
              </w:rPr>
            </w:pPr>
          </w:p>
        </w:tc>
        <w:tc>
          <w:tcPr>
            <w:tcW w:w="120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vMerge w:val="continue"/>
          </w:tcPr>
          <w:p>
            <w:pPr>
              <w:spacing w:after="0"/>
              <w:rPr>
                <w:sz w:val="15"/>
                <w:szCs w:val="15"/>
                <w:color w:val="auto"/>
              </w:rPr>
            </w:pPr>
          </w:p>
        </w:tc>
        <w:tc>
          <w:tcPr>
            <w:tcW w:w="222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88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$196,120</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$455,084</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257,006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 percentage</w:t>
            </w:r>
          </w:p>
        </w:tc>
        <w:tc>
          <w:tcPr>
            <w:tcW w:w="27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67.9%</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68.6%</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Gross margin, as a percentage of revenue, decreased 50 basis points in the third quarter of fiscal 2026 compared to the third quarter of fiscal 2025 and increased by 50 basis points for the first nine months of fiscal 2026 compared to the first nine months of fiscal 2025. Lower gross margin in the third quarter of fiscal 2026 was primarily due to the amortization of intangible assets associated with our acquisition of AMI in the third quarter of fiscal 2026 and higher stock-based compensation expense, partially offset with changes in product volume and mix between the periods. Higher gross margin for the first nine months of fiscal 2026 resulted primarily from changes in product mix and volume between the periods, partially offset by the amortization of AMI-related intangible assets, which began in the third quarter of fiscal 2026, and higher stock-based compensation expense.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Research and development expense, including as a percentage of revenue,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2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8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6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$ 80,319</w:t>
            </w:r>
          </w:p>
        </w:tc>
        <w:tc>
          <w:tcPr>
            <w:tcW w:w="3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49,633</w:t>
            </w:r>
          </w:p>
        </w:tc>
        <w:tc>
          <w:tcPr>
            <w:tcW w:w="3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$195,386</w:t>
            </w:r>
          </w:p>
        </w:tc>
        <w:tc>
          <w:tcPr>
            <w:tcW w:w="3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134,550</w:t>
            </w:r>
          </w:p>
        </w:tc>
        <w:tc>
          <w:tcPr>
            <w:tcW w:w="3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of revenue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includes headcount-related costs, including cash- and stock-based compensation and benefits, R&amp;D equipment expenses, engineering wafers, licenses, and outside engineering services. These expenditures are for the design of new products, IP cores, processes, packaging, and software solutions. The increase in Research and development expense for the third quarter and first nine months of fiscal 2026 compared to the third quarter and first nine months of fiscal 2025 was primarily due to higher stock-based and cash-based compensation expense, along with higher depreciation and amortization on semiconductor equipment and licensed software tools, and higher expenses for mask sets and prototypes. The addition of AMI accounts for $15.8 million of the increase in research and development expense, or a 32% change in the three-month comparison and a 12% change in the nine-month comparison. We believe that investing in research and development is important to delivering innovative products to our customers. We expect research and development expense to increase in the future, but to decline as a percentage of revenue.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Selling, general, and administrative expense, including as a percentage of revenue,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2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8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6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6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$ 60,007</w:t>
            </w:r>
          </w:p>
        </w:tc>
        <w:tc>
          <w:tcPr>
            <w:tcW w:w="3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41,402</w:t>
            </w:r>
          </w:p>
        </w:tc>
        <w:tc>
          <w:tcPr>
            <w:tcW w:w="3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$150,390</w:t>
            </w:r>
          </w:p>
        </w:tc>
        <w:tc>
          <w:tcPr>
            <w:tcW w:w="3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109,339</w:t>
            </w:r>
          </w:p>
        </w:tc>
        <w:tc>
          <w:tcPr>
            <w:tcW w:w="3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of revenue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580" w:type="dxa"/>
            <w:vAlign w:val="bottom"/>
          </w:tcPr>
          <w:p>
            <w:pPr>
              <w:spacing w:after="0"/>
              <w:rPr>
                <w:sz w:val="24"/>
                <w:szCs w:val="24"/>
                <w:color w:val="auto"/>
              </w:rPr>
            </w:pPr>
          </w:p>
        </w:tc>
        <w:tc>
          <w:tcPr>
            <w:tcW w:w="122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- 25 -</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includes headcount-related costs, including cash- and stock-based compensation and benefits, related to selling, general, and administrative employees, commissions, depreciation, professional and outside services, trade show, and travel expenses. The increase in Selling, general, and administrative expense for the third quarter and first nine months of fiscal 2026 compared to the third quarter and first nine months of fiscal 2025 was primarily due to higher stock-based and cash-based compensation expense. The addition of AMI accounts for</w:t>
      </w:r>
    </w:p>
    <w:p>
      <w:pPr>
        <w:spacing w:after="0" w:line="3" w:lineRule="exact"/>
        <w:rPr>
          <w:sz w:val="20"/>
          <w:szCs w:val="20"/>
          <w:color w:val="auto"/>
        </w:rPr>
      </w:pPr>
    </w:p>
    <w:p>
      <w:pPr>
        <w:ind w:left="120" w:right="220"/>
        <w:spacing w:after="0" w:line="290" w:lineRule="auto"/>
        <w:rPr>
          <w:sz w:val="20"/>
          <w:szCs w:val="20"/>
          <w:color w:val="auto"/>
        </w:rPr>
      </w:pPr>
      <w:r>
        <w:rPr>
          <w:rFonts w:ascii="Times New Roman" w:cs="Times New Roman" w:eastAsia="Times New Roman" w:hAnsi="Times New Roman"/>
          <w:sz w:val="17"/>
          <w:szCs w:val="17"/>
          <w:color w:val="auto"/>
        </w:rPr>
        <w:t>$10.5 million of the increase in selling, general, and administrative expense, or a 25% change in the three-month comparison and a 10% change in the nine-month comparison. We expect selling, general, and administrative expense to increase in the future, but to decline as a percentage of revenue.</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Amortization of acquired intangible assets, including as a percentage of revenue,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6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8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80" w:type="dxa"/>
            <w:vAlign w:val="bottom"/>
            <w:vMerge w:val="restart"/>
          </w:tcPr>
          <w:p>
            <w:pPr>
              <w:spacing w:after="0"/>
              <w:rPr>
                <w:sz w:val="10"/>
                <w:szCs w:val="10"/>
                <w:color w:val="auto"/>
              </w:rPr>
            </w:pPr>
          </w:p>
        </w:tc>
        <w:tc>
          <w:tcPr>
            <w:tcW w:w="11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8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5,891</w:t>
            </w:r>
          </w:p>
        </w:tc>
        <w:tc>
          <w:tcPr>
            <w:tcW w:w="3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5,930</w:t>
            </w:r>
          </w:p>
        </w:tc>
        <w:tc>
          <w:tcPr>
            <w:tcW w:w="4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of revenue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0.9%</w:t>
            </w:r>
          </w:p>
        </w:tc>
        <w:tc>
          <w:tcPr>
            <w:tcW w:w="62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increase in Amortization of acquired intangible assets for the third quarter and first nine months of fiscal 2026 compared to the third quarter and first nine months of fiscal 2025 was primarily due to the acquisition of AMI intangible assets in the third quarter of fiscal 2026.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Restructuring and Other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Restructuring and other activity, including as a percentage of revenue,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8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vMerge w:val="restart"/>
          </w:tcPr>
          <w:p>
            <w:pPr>
              <w:spacing w:after="0"/>
              <w:rPr>
                <w:sz w:val="10"/>
                <w:szCs w:val="10"/>
                <w:color w:val="auto"/>
              </w:rPr>
            </w:pPr>
          </w:p>
        </w:tc>
        <w:tc>
          <w:tcPr>
            <w:tcW w:w="11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8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4"/>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Restructuring and other is generally comprised of expenses resulting from workforce reductions, cancellation of contracts, and consolidation of our facilities. Details of our restructuring plans and expenses accrued under them are discussed in “Note 12 – Restructuring” to our Consolidated Financial Statements in Part I, Item 1 of this Quarterly Report on Form 10-Q. Restructuring and other costs decreased in the third quarter and first nine months of fiscal 2026 compared to the third quarter and first nine months of fiscal 2025 as we completed the actions planned under the Q3 2024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Related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Acquisition related activity, including as a percentage of revenue,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4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2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4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2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420" w:type="dxa"/>
            <w:vAlign w:val="bottom"/>
            <w:vMerge w:val="continue"/>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w:t>
            </w: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$ 25,881</w:t>
            </w: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$ 30,310</w:t>
            </w: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of revenue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Acquisition related activity includes professional fees and other expenses directly related to acquisitions. For fiscal 2026, Acquisition related expenses were entirely attributable to the AMI Acquisition which we completed in July 2026 and were comprised of professional fees for legal, accounting, and other outside advisory services, and for representations and warranty insurance premiums.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Interest (expense) income, net, including as a percentage of revenue,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20" w:type="dxa"/>
            <w:vAlign w:val="bottom"/>
          </w:tcPr>
          <w:p>
            <w:pPr>
              <w:spacing w:after="0"/>
              <w:rPr>
                <w:sz w:val="10"/>
                <w:szCs w:val="10"/>
                <w:color w:val="auto"/>
              </w:rPr>
            </w:pPr>
          </w:p>
        </w:tc>
        <w:tc>
          <w:tcPr>
            <w:tcW w:w="110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420" w:type="dxa"/>
            <w:vAlign w:val="bottom"/>
          </w:tcPr>
          <w:p>
            <w:pPr>
              <w:spacing w:after="0"/>
              <w:rPr>
                <w:sz w:val="10"/>
                <w:szCs w:val="10"/>
                <w:color w:val="auto"/>
              </w:rPr>
            </w:pPr>
          </w:p>
        </w:tc>
        <w:tc>
          <w:tcPr>
            <w:tcW w:w="8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(9,640)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602</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(8,459)</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of revenue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Changes in Interest (expense) income for the third quarter and first nine months of fiscal 2026 compared to the third quarter and first nine months of fiscal 2025 were primarily due to interest expenses in the current year periods resulting from the issuance of debt to partially fund the AMI Acquisition as compared to interest income in the prior year periods on cash and cash equivalents. The interest expense related to this debt is comprised of contractual interest on the outstanding principal balance and the amortization of debt issuance costs. Interest expense for the first nine months of fiscal 2026 also includes amortization of debt issuance costs related to the short-term bridge facility from the second quarter of fiscal 2026. See “Note 6 – Long-Term Debt” to our Consolidated Financial Statements in Part I, Item 1 of this Quarterly Report on Form 10-Q for further information on our debt facility.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Other (expense) income, net, including as a percentage of revenue,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5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60" w:type="dxa"/>
            <w:vAlign w:val="bottom"/>
            <w:vMerge w:val="restart"/>
          </w:tcPr>
          <w:p>
            <w:pPr>
              <w:spacing w:after="0"/>
              <w:rPr>
                <w:sz w:val="10"/>
                <w:szCs w:val="10"/>
                <w:color w:val="auto"/>
              </w:rPr>
            </w:pPr>
          </w:p>
        </w:tc>
        <w:tc>
          <w:tcPr>
            <w:tcW w:w="116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50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0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9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(520)</w:t>
            </w:r>
          </w:p>
        </w:tc>
        <w:tc>
          <w:tcPr>
            <w:tcW w:w="3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6"/>
              </w:rPr>
              <w:t>(22)</w:t>
            </w:r>
          </w:p>
        </w:tc>
        <w:tc>
          <w:tcPr>
            <w:tcW w:w="5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(5,639)</w:t>
            </w:r>
          </w:p>
        </w:tc>
        <w:tc>
          <w:tcPr>
            <w:tcW w:w="5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5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of revenue</w:t>
            </w:r>
          </w:p>
        </w:tc>
        <w:tc>
          <w:tcPr>
            <w:tcW w:w="2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(0.0)%</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Changes in Other (expense) income for the third quarter and first nine months of fiscal 2026 compared to the third quarter and first nine months of fiscal 2025 were primarily due to the write-off of unamortized debt issuance costs. In the third quarter of fiscal 2026, we wrote off $0.4 million of unamortized debt issuance costs associated with the 2026 Credit Agreement upon discretionary payments made on our long-term debt. The write-offs in the first nine months of fiscal 2026 included this amount as well as $4.7 million of unamortized debt issuance costs related to the bridge facility and $0.2 million of unamortized debt issuance cost associated with the 2022 Credit Agreement upon the re-financing of our long-term debt.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composition of our Income tax expense (benefit) is presented in the following table: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vMerge w:val="restart"/>
          </w:tcPr>
          <w:p>
            <w:pPr>
              <w:spacing w:after="0"/>
              <w:rPr>
                <w:sz w:val="10"/>
                <w:szCs w:val="10"/>
                <w:color w:val="auto"/>
              </w:rPr>
            </w:pPr>
          </w:p>
        </w:tc>
        <w:tc>
          <w:tcPr>
            <w:tcW w:w="9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32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66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2,602</w:t>
            </w:r>
          </w:p>
        </w:tc>
        <w:tc>
          <w:tcPr>
            <w:tcW w:w="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36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5,909</w:t>
            </w:r>
          </w:p>
        </w:tc>
        <w:tc>
          <w:tcPr>
            <w:tcW w:w="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3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The higher income tax expense for the third quarter and first nine months of fiscal 2026 compared to the third quarter and first nine months of fiscal 2025 was primarily due to increased worldwide income, partially offset by the impact of stock-based compensation combined with federal tax credits.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that we define as net income before net interest income (expense), income tax expense, depreciation and amortization, stock-based compensation, and other items that are considered unusual or not representative of underlying trends of our business, including but not limited to: legal expenses outside the ordinary course of business, transformation charges incurred in connection with our multi-year strategic initiative to realign our organizational structure and modernize our technology platforms, restructuring, and other charges, if applicable for the periods presented.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believe that the exclusion of the items eliminated in calculating Adjusted EBITDA provides useful measures for period-to-period comparisons of our business. Accordingly, we believe that Adjusted EBITDA provides useful information in understanding and evaluating our operating results in the same manner as our management and our Board of Directors. Adjusted EBITDA should not be considered in isolation of, or as an alternative to, measures prepared in accordance with GAAP. Other companies, including companies in our industry, may calculate similarly-titled non-GAAP financial measures differently or may use other measures to evaluate their performance, all of which could reduce the usefulness of Adjusted EBITDA as a tool for comparison.</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There are a number of limitations related to the use of Adjusted EBITDA rather than net income, which is the most directly comparable financial measure calculated in accordance with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potential capital expenditures. Our presentation of Adjusted EBITDA should not be construed as an inference that our future results will be unaffected by these expenses or any unusual or non-recurring items, as in the future we may incur expenses similar to the adjustments in this presentation. Evaluation of our performance should consider Adjusted EBITDA alongside other financial performance measures, including our net income and other GAAP results.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Net income to Adjusted EBITDA, including as a percentage of revenue, is presented in the following table: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1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500" w:type="dxa"/>
            <w:vAlign w:val="bottom"/>
          </w:tcPr>
          <w:p>
            <w:pPr>
              <w:spacing w:after="0"/>
              <w:rPr>
                <w:sz w:val="10"/>
                <w:szCs w:val="10"/>
                <w:color w:val="auto"/>
              </w:rPr>
            </w:pPr>
          </w:p>
        </w:tc>
        <w:tc>
          <w:tcPr>
            <w:tcW w:w="12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3,</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6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GAAP Net income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GAAP Net income margin</w:t>
            </w: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3.9%</w:t>
            </w:r>
          </w:p>
        </w:tc>
        <w:tc>
          <w:tcPr>
            <w:tcW w:w="1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2.1%</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7.9%</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9,640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8,459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2,602</w:t>
            </w:r>
          </w:p>
        </w:tc>
        <w:tc>
          <w:tcPr>
            <w:tcW w:w="1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5,909</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12,878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12,917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11,613</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30,136</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25,700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50,747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35,978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124,090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80,675</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compensation to be settled in equity (2)</w:t>
            </w:r>
          </w:p>
        </w:tc>
        <w:tc>
          <w:tcPr>
            <w:tcW w:w="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6,048</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14,908</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Transformation charges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Legal expenses (3)</w:t>
            </w: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3,797</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related (4)</w:t>
            </w:r>
          </w:p>
        </w:tc>
        <w:tc>
          <w:tcPr>
            <w:tcW w:w="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25,881</w:t>
            </w:r>
          </w:p>
        </w:tc>
        <w:tc>
          <w:tcPr>
            <w:tcW w:w="1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30,310</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unamortized debt issuance costs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5,277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131,048</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285,167</w:t>
            </w: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45.0%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35.6%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43.0%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34.4%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and related payroll tax expenses.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accruals for the portion of our annual Corporate Incentive Plan that we intend to settle in equity and related payroll tax expenses.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expenses outside the ordinary course of business, including those incurred defending against claims described in our 2025 10-K.</w:t>
      </w:r>
    </w:p>
    <w:p>
      <w:pPr>
        <w:spacing w:after="0" w:line="9"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other expenses directly related to acquisitions, including professional fees for legal, accounting, and other outside advisory services, and for representations and warranty insurance premiums.</w:t>
      </w:r>
    </w:p>
    <w:p>
      <w:pPr>
        <w:spacing w:after="0" w:line="18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Adjusted EBITDA increased for the third quarter and first nine months of fiscal 2026 compared to the third quarter and first nine months of fiscal 2025 primarily as a result of higher revenue, partially offset by higher headcount-related expenses and higher expenses for mask sets and prototypes, and the addition of AMI.</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following sections discuss material changes in our financial condition from the end of fiscal 2025, including the effects of changes in our Consolidated Balance Sheets, and the effects of our credit arrangements and contractual obligations on our liquidity and capital resources. There continues to be uncertainty around the extent of market volatility, the impact of tariffs, inflationary pressures, interest rate changes, recessionary concerns, uncertainty in the financial and banking industry, and geopolitical tension, which may impact our liquidity and working capital needs in future periods.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historically financed our operating and capital resource requirements through cash flows from operations and from the issuance of long-term debt to fund acquisitions. Cash provided by or used in operating activities will fluctuate from period to period due to fluctuations in operating results, the timing and collection of accounts receivable, and required inventory levels, among other things.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believe that our financial resources, including current cash and cash equivalents, cash flow from operating activities, and our credit facilities, will be sufficient to meet our liquidity and working capital needs, including the cash and covenant requirements under the term loans, through at least the next 12 months. On June 30, 2026, we entered into our 2026 Credit Agreement, as described in “Note 6 – Long-Term Debt” under Part I, Item 1 of this report. As of October 3, 2026, we did not have significant long-term commitments for capital expenditures. For further information on our cash commitments for operating lease liabilities, see “Note 8 – Leases” under Part I, Item 1 of this report.</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the future, we may continue to consider acquisition opportunities to further extend our product or technology portfolios and further expand our product offerings. In connection with funding capital expenditures, acquisitions, securing additional wafer supply, increasing our working capital, or other purposes, we may seek to obtain equity or additional debt financing. We may also seek to obtain equity or additional debt financing if we experience downturns or cyclical fluctuations in our business that are more severe or longer than we anticipated when determining our current working capital needs.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128,277</w:t>
            </w:r>
          </w:p>
        </w:tc>
        <w:tc>
          <w:tcPr>
            <w:tcW w:w="5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133,886</w:t>
            </w:r>
          </w:p>
        </w:tc>
        <w:tc>
          <w:tcPr>
            <w:tcW w:w="5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4"/>
              </w:rPr>
              <w:t>$ (5,609)</w:t>
            </w:r>
          </w:p>
        </w:tc>
        <w:tc>
          <w:tcPr>
            <w:tcW w:w="50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October 3, 2026, we had Cash and cash equivalents of $128.3 million, of which $82.4 million was held by our foreign subsidiaries. We manage our global cash requirements considering, among other things, (i) available funds among our subsidiaries through which we conduct business, (ii) the geographic location of our liquidity needs, and (iii) the cost to access international cash balances. The repatriation of non-US earnings may require us to withhold and pay foreign income tax on dividends. This should not result in our recording significant additional tax expense as we have accrued expense based on current withholding rates. As of October 3, 2026, we could access all cash held by our foreign subsidiaries without incurring significant additional expense.</w:t>
      </w:r>
    </w:p>
    <w:p>
      <w:pPr>
        <w:spacing w:after="0" w:line="18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net decrease in Cash and cash equivalents of $5.6 million between January 3, 2026 and October 3, 2026 was primarily driven by cash flows from the following activities:</w:t>
      </w:r>
    </w:p>
    <w:p>
      <w:pPr>
        <w:spacing w:after="0" w:line="16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 </w:t>
      </w:r>
      <w:r>
        <w:rPr>
          <w:rFonts w:ascii="Times New Roman" w:cs="Times New Roman" w:eastAsia="Times New Roman" w:hAnsi="Times New Roman"/>
          <w:sz w:val="18"/>
          <w:szCs w:val="18"/>
          <w:color w:val="auto"/>
        </w:rPr>
        <w:t>Cash provided by operating activities results from net income adjusted for certain non-cash items and changes in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Cash provided by operating activities for the first nine months of fiscal 2026 was $233.6 million compared to $117.5 million for the first nine months of fiscal 2025. This increase of $116.1 million was primarily driven by $109.3 million more cash provided by net income adjusted for non-cash items, coupled with $6.8 million of net changes in working capital.</w:t>
      </w:r>
    </w:p>
    <w:p>
      <w:pPr>
        <w:spacing w:after="0" w:line="180"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 </w:t>
      </w:r>
      <w:r>
        <w:rPr>
          <w:rFonts w:ascii="Times New Roman" w:cs="Times New Roman" w:eastAsia="Times New Roman" w:hAnsi="Times New Roman"/>
          <w:sz w:val="18"/>
          <w:szCs w:val="18"/>
          <w:color w:val="auto"/>
        </w:rPr>
        <w:t>Investing cash flows consist primarily of the AMI Acquisition in the third quarter of fiscal 2026, transactions related to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payments for software and intellectual property licenses, and purchases of other investments. Net cash used by investing activities in the first nine months of fiscal 2026 was $1,042.7 million compared to $41.1 million in the first nine months of fiscal 2025. This increase of $1,001.6 million results primarily from the $971.3 million of net cash paid for AMI. Capital expenditures and cash paid for software and intellectual property licenses increased by $29.0 million in the first nine months of fiscal 2026 compared to the first nine months of fiscal 2025 as we invest in equipment and tools to support the growth of the business.</w:t>
      </w:r>
    </w:p>
    <w:p>
      <w:pPr>
        <w:spacing w:after="0" w:line="18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Financing activities — </w:t>
      </w:r>
      <w:r>
        <w:rPr>
          <w:rFonts w:ascii="Times New Roman" w:cs="Times New Roman" w:eastAsia="Times New Roman" w:hAnsi="Times New Roman"/>
          <w:sz w:val="18"/>
          <w:szCs w:val="18"/>
          <w:color w:val="auto"/>
        </w:rPr>
        <w:t>Financing cash flows consist primarily of activity related to our long-term debt, tax payments related to the net share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restricted stock units, proceeds from the acquisition of common stock under our employee stock purchase plan, and repurchases of common stock. Financing activities provided net cash of $803.3 million in the first nine months of fiscal 2026 compared to using net cash of $95.3 million in the first nine months of fiscal 2025. This increase of $898.6 million was due to the following activities: (i) during the first nine months of fiscal 2026, we borrowed $925 million under the term loans pursuant to the 2026 Credit Agreement, the proceeds of which were used in the AMI Acquisition, we paid $12.3 million in issuance costs related to new long-term debt under the bridge facility and the 2026 Credit Agreement, and we made discretionary prepayments totaling $50.0 million on the outstanding principal balance under the 2026 Credit Agreement; (ii) payments for tax withholdings on vesting of RSUs partially offset by purchases under the employee stock purchase plan used net cash flows of $44.4 million in the first nine months of fiscal 2026, an increase of $35.0 million from the net $9.4 million used in the first nine months of fiscal 2025; and (iii) during the first nine months of fiscal 2026, we repurchased 0.2 million shares of common stock for $15.0 million, a decrease of $70.9 million compared to the first nine months of fiscal 2025, where we repurchased 1.5 million shares of common stock for $85.9 million.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4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4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4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CCEEFF"/>
            </w:tcBorders>
          </w:tcPr>
          <w:p>
            <w:pPr>
              <w:spacing w:after="0"/>
              <w:rPr>
                <w:sz w:val="15"/>
                <w:szCs w:val="15"/>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162,629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102,277</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$60,352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Days sales outstanding</w:t>
            </w:r>
          </w:p>
        </w:tc>
        <w:tc>
          <w:tcPr>
            <w:tcW w:w="24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Accounts receivable, net as of October 3, 2026 increased by $60.4 million, or 59%, compared to January 3, 2026. This increase was primarily due to the acquisition of $48.3 million of net accounts receivable in the AMI Acquisition, coupled with increased revenue and order scheduling through the quarter. We calculate Days sales outstanding on the basis of a 365-day year as Accounts receivable, net at the end of the quarter divided by sales during the quarter annualized and then multiplied by 365.</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5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120,577</w:t>
            </w:r>
          </w:p>
        </w:tc>
        <w:tc>
          <w:tcPr>
            <w:tcW w:w="5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w:t>
            </w:r>
          </w:p>
        </w:tc>
        <w:tc>
          <w:tcPr>
            <w:tcW w:w="5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$31,375</w:t>
            </w:r>
          </w:p>
        </w:tc>
        <w:tc>
          <w:tcPr>
            <w:tcW w:w="5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Days of inventory on hand</w:t>
            </w:r>
          </w:p>
        </w:tc>
        <w:tc>
          <w:tcPr>
            <w:tcW w:w="2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178</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Inventories as of October 3, 2026 increased by $31.4 million, or 35%, compared to January 3, 2026 as we build inventory to meet expected continued demand growth.</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Days of inventory on hand ratio compares the inventory balance at the end of a quarter to the cost of revenue in that quarter. We calculate Days of inventory on hand on the basis of a 365-day year as Inventories at the end of the quarter divided by Cost of revenue during the quarter annualized and then multiplied by 365.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Arrangements</w:t>
      </w:r>
    </w:p>
    <w:p>
      <w:pPr>
        <w:spacing w:after="0" w:line="121"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As of October 3, 2026, we had no used or unused credit arrangements beyond the facilities described in the 2026 Credit Agreement. The details of this arrangement are described in “Note 6 – Long-Term Debt” in the Notes to Consolidated Financial Statements of this Quarterly Report on Form 10-Q.</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See Part II, Item 2, “Unregistered Sales of Equity Securities and Use of Proceeds,” of this Quarterly Report on Form 10-Q for more information about the share repurchase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“New Accounting Pronouncements” in Note 1 – Basis of Presentation to our Consolidated Financial Statements in Part I, Item 1 of this report is incorporated by reference into this Part I, Item 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assess these risks on a regular basis and have established policies that are designed to protect against the adverse effects of these and other potential exposures. We are exposed to interest rate risk related to our indebtedness. At October 3, 2026, we had $875.0 million outstanding under our 2026 Credit Agreement. A hypothetical increase in the one-month SOFR by 0.5% (50 basis points) would increase our future interest expense by approximately $1.1 million per quarter. There have been no material changes to the foreign currency exchange rate risk previously disclosed in Part II, Item 7A, “Quantitative and Qualitative Disclosures About Market Risk,” of our 2025 10-K.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our management, including our Chief Executive Officer and Chief Financial Officer, evaluated the effectiveness of the design and operation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were effective as of the end of the period covered by this report.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On July 27, 2026, we completed the AMI Acquisition, and we are in the process of integrating AMI’s operations, including its internal control over financial reporting, into our internal control over financial reporting. In connection with this integration, we are implementing and, in certain cases, revising controls, processes and procedures relating to the acquired business. We will continue to evaluate and monitor our internal control over financial reporting and will continue to evaluate the operating effectiveness of related key controls.</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in our internal control over financial reporting (as defined in Rules 13a-15(f) under the Exchange Act) that occurred during the third quarter of fiscal 2026 that have materially affected, or are reasonably likely to materially affect, our internal control over financial reporting.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information set forth above under “</w:t>
      </w:r>
      <w:r>
        <w:rPr>
          <w:rFonts w:ascii="Times New Roman" w:cs="Times New Roman" w:eastAsia="Times New Roman" w:hAnsi="Times New Roman"/>
          <w:sz w:val="18"/>
          <w:szCs w:val="18"/>
          <w:u w:val="single" w:color="auto"/>
          <w:color w:val="auto"/>
        </w:rPr>
        <w:t>Note 14 – Contingencies – Legal Proceedings</w:t>
      </w:r>
      <w:r>
        <w:rPr>
          <w:rFonts w:ascii="Times New Roman" w:cs="Times New Roman" w:eastAsia="Times New Roman" w:hAnsi="Times New Roman"/>
          <w:sz w:val="18"/>
          <w:szCs w:val="18"/>
          <w:color w:val="auto"/>
        </w:rPr>
        <w:t>” contained in the Notes to Consolidated Financial Statements is incorporated herein by reference.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These risk factors and all of the other information included in this Quarterly Report on Form 10-Q should be carefully considered in their entirety before making an investment decision relating to our common stock. If any of the risks described below occur, our business, financial condition, operating results, and cash flows could be materially adversely affected, and the trading price of our common stock could decline. The risks and uncertainties described below are not the only ones we face. Additional risks and uncertainties not presently known to us or that we currently deem to be immaterial also may materially adversely affect our business, financial condition, and operating results. Effects from global business or political events, and the related impacts to economic and operating conditions, may further affect the volatility or degree of known and unknown risks.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the AMI Acquisition and Our Capital Structure</w:t>
      </w:r>
    </w:p>
    <w:p>
      <w:pPr>
        <w:spacing w:after="0" w:line="13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AMI and realize the anticipated benefits of the AMI Acquisition, and risks of other strategic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the restrictions and variable interest rate exposure under the 2026 Credit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 impairments.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Economic, Political, Legal &amp; Regulatory Business Conditions</w:t>
      </w:r>
    </w:p>
    <w:p>
      <w:pPr>
        <w:spacing w:after="0" w:line="13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business conditions related to our global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trade restrictions, export controls, sanctions or similar actions on our global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conditions related to our global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Manufacturing our Products</w:t>
      </w:r>
    </w:p>
    <w:p>
      <w:pPr>
        <w:spacing w:after="0" w:line="135" w:lineRule="exact"/>
        <w:rPr>
          <w:sz w:val="20"/>
          <w:szCs w:val="20"/>
          <w:color w:val="auto"/>
        </w:rPr>
      </w:pPr>
    </w:p>
    <w:p>
      <w:pPr>
        <w:ind w:left="1080" w:right="8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exposure of our subcontractors that we rely on to supply silicon wafers, packaging, and testing to manufacture our semiconductor products.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achievement of continued yield and quality improvements, cost reductions, the availability and costs of wafers and other materials, risks associated with supply and purchase commitments, and changes in the mix of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warranty claims, product security vulnerabilities and other costs related to our products.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Intellectual Property</w:t>
      </w:r>
    </w:p>
    <w:p>
      <w:pPr>
        <w:spacing w:after="0" w:line="13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and margins caused by the intellectual property and firmware licensing components of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fluctuations in our revenue and gross margins caused by intermittent sales of patents and significant licensing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our use of third-party and open-source technology.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Overall Business &amp; Operations</w:t>
      </w:r>
    </w:p>
    <w:p>
      <w:pPr>
        <w:spacing w:after="0" w:line="135" w:lineRule="exact"/>
        <w:rPr>
          <w:sz w:val="20"/>
          <w:szCs w:val="20"/>
          <w:color w:val="auto"/>
        </w:rPr>
      </w:pPr>
    </w:p>
    <w:p>
      <w:pPr>
        <w:ind w:left="1080" w:right="2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functioning of our information technology systems, including in response to data breaches, cyberattacks, or cyber-fraud, and the integration of AMI’s systems.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estimates and judgments, including for AMI’s firmware licensing and related service arrangements, and changes to accounting standards.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unanticipated tax consequences as a result of changes in effective tax rates, tax laws, and our global organizational, intellectual property and intercompany structure.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our foreign currency risk management and hedging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control over financial reporting and business processes, including as we integrate AMI.</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others to attract and retain key personnel, including personnel with specialized firmware and software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foresee and insure against risks related to our business.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investor sentiment relating to AI, and risks relating to the adoption, use or application of AI and other emerging technologies.</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1120"/>
          </w:cols>
          <w:pgMar w:left="320" w:top="482" w:right="459" w:bottom="339"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and climate-related policies and regulations on our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Our Markets and Product Development</w:t>
      </w:r>
    </w:p>
    <w:p>
      <w:pPr>
        <w:spacing w:after="0" w:line="135"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market patterns and potential downturns in our industry, our end markets or our segments.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introduce new products, including firmware and software, that achieve customer and market acceptance.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use of and participation in open-source software, particularly in our AMI business, and competition from open-source and other alternative solutions.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companies that have significantly greater resources than us and numerous other product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independent contractors and third parties to provide key services in our product development and operations.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Our Sales and Revenue</w:t>
      </w:r>
    </w:p>
    <w:p>
      <w:pPr>
        <w:spacing w:after="0" w:line="13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concentrated distribution model and on a limited number of significant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and the unpredictability of our business and our sales cycles.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requirements related to sales through our distribution channel.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3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inflationary pressures, interest rate fluctuations, and recessionary or economic slowdown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worldwide operations and supply chain due to natural or human-induced disasters.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 of our common stock, including as a result of sales of shares issued in the AMI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and potential litigation and unfavorable results of legal proceedings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widespread global health problems on our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Factors Related to the AMI Acquisition and Our Capital Structure</w:t>
      </w:r>
    </w:p>
    <w:p>
      <w:pPr>
        <w:spacing w:after="0" w:line="117"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the AMI Acquisition, and the AMI Acquisition and other strategic transactions could disrupt our business and adversely affect our financial condition and operating results.</w:t>
      </w:r>
    </w:p>
    <w:p>
      <w:pPr>
        <w:spacing w:after="0" w:line="5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July 27, 2026, we completed the AMI Acquisition for total consideration of approximately $1 billion in cash and approximately 5.2 million shares of our common stock and restricted stock units, subject to adjustments set forth in the Merger Agreement. AMI’s results have been included in our consolidated financial statements since the acquisition date, and beginning in the third quarter of fiscal 2026, we report our results in two reportable segments, FPGA and AMI. AMI is a significant business relative to our historical operations and provides platform firmware and infrastructure manageability solutions, with offerings, contract terms, pricing arrangements, sales models and support obligations that differ from those of our historical FPGA business.</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integrating AMI’s operations, products, technology, personnel, customer relationships, information technology systems, financial reporting processes, internal controls, legal entities, intellectual property ownership and tax arrangements with our own. This integration is complex and will require significant management attention and resources over an extended period. Our ability to realize the anticipated benefits of the AMI Acquisition, including expected revenue opportunities, synergies and cost savings, within the expected timeframe or at all, depends on a number of factors, including our ability to:</w:t>
      </w:r>
    </w:p>
    <w:p>
      <w:pPr>
        <w:spacing w:after="0" w:line="89" w:lineRule="exact"/>
        <w:rPr>
          <w:sz w:val="20"/>
          <w:szCs w:val="20"/>
          <w:color w:val="auto"/>
        </w:rPr>
      </w:pPr>
    </w:p>
    <w:p>
      <w:pPr>
        <w:ind w:left="1080" w:right="3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motivate key AMI employees, many of whom have specialized firmware and software expertise and long-standing customer relationships;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AMI’s relationships with its customers, suppliers and partners, some of whom compete with our FPGA business and may delay, reduce or change their purchasing or partnering decisions as a result of the acquisition;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product roadmaps and go-to-market activities across businesses that have historically operated with different sales models;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where appropriate, AMI’s legal entities, intellectual property arrangements and intercompany relationships with our global organizational and tax structure;</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AMI’s processes, which were designed for a privately held company, into our public-company reporting and control environment;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increased size, geographic scope and complexity of the combined business.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plans for AMI remain subject to significant execution risk, and we may not realize anticipated revenue growth, cross-selling opportunities, customer adoption, product integration, operating efficiencies, margins or other strategic or financial benefits on the timing or to the extent anticipated, or at all. Customer interest or engagement with our combined offerings may not result in design wins, production deployments or revenue, and we may not successfully execute our combined product roadmap or commercial strategy.</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acquisition-related and integration costs, and these costs may be greater than we anticipate. As we continue to integrate AMI and evaluate the combined business, we may identify opportunities to further align our cost structure, operations and resources with our strategic priorities. Any resulting restructuring or other integration actions could result in additional costs or charges, disrupt our operations, affect employee retention or morale, and may not achieve the anticipated operating efficiencies or other benefits. We may also discover liabilities relating to the acquired business, including liabilities relating to</w:t>
      </w:r>
    </w:p>
    <w:p>
      <w:pPr>
        <w:sectPr>
          <w:pgSz w:w="11900" w:h="16838" w:orient="portrait"/>
          <w:cols w:equalWidth="0" w:num="1">
            <w:col w:w="11120"/>
          </w:cols>
          <w:pgMar w:left="320" w:top="482" w:right="459" w:bottom="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9019"/>
          </w:cols>
          <w:pgMar w:left="1440" w:top="121"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intellectual property, product security, litigation, regulatory compliance or taxes, that were unknown to us or are greater than we anticipated. Our rights to escrow and indemnification under the Merger Agreement are limited in amount and duration and may not be sufficient to protect us. For additional risks relating to the AMI Acquisition, see the risk factors below relating to our indebtedness, goodwill and intangible assets, internal control over financial reporting, accounting estimates and judgments, and taxes.</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More generally, we actively evaluate and may continue to pursue growth opportunities through acquisitions, strategic investments and strategic partnerships, and we may divest non-core assets. Identifying, evaluating, negotiating and completing these transactions requires significant management time and attention and involves substantial costs, whether or not a transaction is completed, and our indebtedness may limit our ability to finance future transactions on favorable terms or at all. Any strategic transaction may not strengthen our competitive position, may increase some of our risks, may result in charges against earnings, and may be viewed negatively by our customers, partners or investors. We may also receive unsolicited acquisition or business combination offers, and reviewing and responding to them can be costly and complex and may divert the attention of management. If we fail to integrate AMI or any other acquired business successfully, or fail to realize the anticipated benefits of a strategic transaction, our business, financial condition, results of operations and stock price could be materially adversely affected.</w:t>
      </w:r>
    </w:p>
    <w:p>
      <w:pPr>
        <w:spacing w:after="0" w:line="29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reduce our strategic flexibility and liquidity, increase our vulnerability to adverse economic and industry conditions, and adversely affect our results of operations.</w:t>
      </w:r>
    </w:p>
    <w:p>
      <w:pPr>
        <w:spacing w:after="0" w:line="5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the AMI Acquisition, we borrowed $925 million of delayed draw term loans under the 2026 Credit Agreement. As of October 3, 2026, we had $875 million of term loans outstanding under the 2026 Credit Agreement. The 2026 Credit Agreement also provides for a revolving credit facility of up to $200 million. As of October 3, 2026, we had no outstanding borrowings under the revolving credit facility. The term loans amortize quarterly, and the term loans and any revolving loans mature on June 30, 2031. The term loans and the revolving credit facility are senior secured obligations. Our obligations under the 2026 Credit Agreement are guaranteed by certain of our U.S. subsidiaries meeting materiality thresholds set forth in the 2026 Credit Agreement and are secured by substantially all of our assets and the assets of those subsidiary guarantors, subject to customary exceptions.</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Borrowings under the 2026 Credit Agreement bear interest at variable rates based on term SOFR or a base rate, plus a margin that varies with our total net leverage ratio. As a result, increases in prevailing interest rates, or an increase in our leverage ratio, will increase our interest expense and reduce the cash available for other purposes.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2026 Credit Agreement contains customary affirmative and negative covenants, including covenants that limit our ability and the ability of our subsidiaries to incur debt, grant liens, undergo certain fundamental changes, make investments, make certain restricted payments, dispose of assets, enter into transactions with affiliates and enter into burdensome agreements, in each case subject to limitations and exceptions. We are also required to maintain a maximum total net leverage ratio and a minimum interest coverage ratio. Our ability to comply with these requirements depends on our operating results, which may be affected by industry cycles, changes in customer demand and other factors beyond our control.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 and terms of our indebtedness could have important consequences, including the following:</w:t>
      </w:r>
    </w:p>
    <w:p>
      <w:pPr>
        <w:spacing w:after="0" w:line="131" w:lineRule="exact"/>
        <w:rPr>
          <w:sz w:val="20"/>
          <w:szCs w:val="20"/>
          <w:color w:val="auto"/>
        </w:rPr>
      </w:pPr>
    </w:p>
    <w:p>
      <w:pPr>
        <w:ind w:left="1080" w:right="7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economic and industry downturns, less able to withstand competitive pressures, and less flexible in responding to changing business and economic conditions;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cash flow from operations will be used to pay principal and interest on our indebtedness and will not be available for research and development, operations, acquisitions, share repurchases or other purposes;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generate sufficient cash flow from operations or other sources to meet our payment obligations and to fund our other liquidity needs;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additional debt for working capital, acquisitions or other needs is limited, and the cost of any additional or refinanced debt may be higher;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distributions to our stockholders in a sale or liquidation may be limited until our indebtedness is repaid in full.</w:t>
      </w:r>
    </w:p>
    <w:p>
      <w:pPr>
        <w:spacing w:after="0" w:line="11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we are unable to service our debt, we may need to sell assets, restructure or refinance our debt, or seek additional equity capital, which could be dilutive to our stockholders, and prevailing economic and credit market conditions could adversely affect our ability to do so on acceptable terms or at all. If we breach a covenant, the lenders could accelerate the repayment of our indebtedness, and we might not have sufficient assets to repay it. If we are unable to repay or refinance our indebtedness upon acceleration or at maturity, the lenders could foreclose on the collateral securing the 2026 Credit Agreement, which could materially decrease the value of our common stock.</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recorded a significant amount of goodwill and acquired intangible assets, primarily in connection with the AMI Acquisition, and we may be required to record impairment charges that could adversely affect our results of operations.</w:t>
      </w:r>
    </w:p>
    <w:p>
      <w:pPr>
        <w:spacing w:after="0" w:line="5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As of October 3, 2026, we had goodwill of $1,369.5 million and net identifiable intangible assets of $559.7 million, a substantial majority of which arose from the AMI Acquisition. The identifiable intangible assets acquired in the AMI Acquisition principally consist of developed technology, customer relationships and trade names. The amounts recorded are based on our preliminary allocation of the purchase price, which required significant estimates and assumptions, including with respect to projected financial information, discount rates and useful lives, and which may be adjusted during the measurement period of up to one year from the acquisition date.</w:t>
      </w:r>
    </w:p>
    <w:p>
      <w:pPr>
        <w:spacing w:after="0" w:line="18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are required under U.S. GAAP to test goodwill for impairment at least annually, and to test goodwill and long-lived assets, including amortizable intangible assets, for impairment whenever events or circumstances indicate that their carrying value may not be recoverable.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1140"/>
          </w:cols>
          <w:pgMar w:left="320" w:top="482" w:right="439" w:bottom="798"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test goodwill for impairment at the reporting-unit level. Following the AMI Acquisition and the resulting changes to our organizational and segment-reporting structure, we have two reporting units for purposes of goodwill impairment testing. If the AMI business or any other reporting unit does not perform as expected, if the assumptions used to value acquired intangible assets change unfavorably, or if industry, economic or market conditions deteriorate, we may be required to record impairment charges or otherwise revise our estimates relating to these assets, which could increase future expense. We recorded impairment charges of approximately $13.9 million in fiscal year 2024 related to amortizable intangible assets from our acquisition of Mirametrix, Inc. Because the amount of goodwill and intangible assets arising from the AMI Acquisition is significant, any future impairment charge could be material. Although an impairment charge would be non-cash when recognized, it would reduce our reported results and stockholders’ equity and could adversely affect the trading price of our common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Economic, Political, Legal &amp; Regulatory Business Conditions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business operations expose us to various economic, political, and business risks, which could impact our business, operating results and financial condition.</w:t>
      </w:r>
    </w:p>
    <w:p>
      <w:pPr>
        <w:spacing w:after="0" w:line="5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have significant domestic and international operations. Our international operations include foreign sales offices to support our international customers and distributors, which account for the majority of our revenue, and operational and research and development sites in China, the Philippines, Malaysia, India and other locations in Asia and elsewhere. The AMI Acquisition has expanded our operations and employee presence in several countries where we previously operated, including India and China, and added or expanded operations in Taiwan and other jurisdictions. In addition, we purchase our wafers from foreign foundries; have our commercial products assembled, packaged, and tested by subcontractors located outside of the United States; and rely on international service providers for a variety of services, including inventory management, lead time management, technical support, factory engagement meetings, and order fulfillment.</w:t>
      </w:r>
    </w:p>
    <w:p>
      <w:pPr>
        <w:spacing w:after="0" w:line="18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Worldwide political and economic conditions and events can have indirect and unpredictable effects on global economic conditions, customer demand, currency exchange rates, capital markets, and the operations of our customers, suppliers, and logistics partners. Any escalation of political unrest, deterioration in diplomatic relations, or expansion of regional or global sanctions could adversely affect global trade flows and supply chains and, in turn, negatively impact our business, operating results, and financial condition. For example, conflict in the Middle East, the continuing military conflict between Ukraine and Russia, as well as the financial and trade-related restrictions associated with Russia and Belarus and economic sanctions on certain individuals and entities in Russia and Belarus, and recent political developments and heightened uncertainty in Latin America, have increased geopolitical and economic volatility globally. These developments may result in new or expanded sanctions, trade restrictions, financial market disruptions, volatility in energy and commodity prices, and broader macroeconomic instability, and may further disrupt global supply chains and could result in shortages of key materials that our suppliers and foundry partners require to satisfy our needs. Additionally, the U.S. government has continued, and may increase, restrictions on the export of semiconductor-and supercomputer-related products, including semiconductor manufacturing equipment, which may restrict the ability to export, reexport, or otherwise transfer U.S.-controlled certain chips, products containing those chips, chip-related technology and software, and items related to semiconductor manufacturing worldwide without export authorization. In many cases, specific export licensing will be required and these licenses are subject to a policy of denial. China has responded by implementing additional export controls on products exported from China. These increasing restrictions, as well as additional future controls impacting the semiconductor ecosystem, may impact the global supply chain and could result in shortages of key materials that our suppliers and foundry partners require to satisfy our needs. Any deterioration in the relations between Taiwan and China, and other factors affecting military, political or economic conditions in Taiwan or elsewhere in Asia, could adversely impact our third-party manufacturing partners and suppliers located in the region, which could disrupt our business operations. The outbreak of new, or expansion or prolongation of current, military conflicts could disrupt global trade, transportation routes, energy and commodity markets, and supply chains, increase macroeconomic volatility, and adversely affect demand for our products, the operations of our customers and suppliers, and our business and financial results. Furthermore, adverse macroeconomic conditions, such as inflation and labor shortages, may affect demand for our products or increase our product or labor costs, negatively impacting our revenues, gross margins, and overall financial results.</w:t>
      </w:r>
    </w:p>
    <w:p>
      <w:pPr>
        <w:spacing w:after="0" w:line="188"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domestic and international business activities are subject to economic, political and regulatory risks, including: increased inflation; volatility in financial markets; fluctuations in consumer liquidity; changes in interest rates; price increases for materials and components; trade barriers or changes in trade policies; political instability; acts of war or terrorism; natural disasters; economic sanctions; weak economic conditions; environmental regulations; labor regulations; disruptions to labor markets; import and export regulations; tax or freight rates; duties; trade restrictions; interruptions in transportation or infrastructure; anti-corruption laws; domestic and foreign governmental regulations; potential vulnerability of and reduced protection for intellectual property; disruptions or delays in production or shipments; and instability or fluctuations in currency exchange rates, any of which could lead to decreased demand for our products or a change in our results of operations. Supply chain constraints, inflation, or labor market disruptions, events outside of our control could have a material adverse impact on our business, operating results, and financial condition in the future. Uncertainty about future political and economic conditions makes forecasting demand and providing guidance difficult. Accordingly, our expectations are subject to change without warning and investors are cautioned not to place undue reliance on them.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as a result of tariffs, trade restrictions, export controls, sanctions or similar actions.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imposition by the United States of tariffs, sanctions or other restrictions on goods exported from the United States or imported into the United States or countermeasures imposed in response to such government actions could adversely affect our operations or our ability to sell our products globally, which could adversely affect our operating results and financial condition.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These restrictions include measures under United States’ authority under Section 232 of the Trade Expansion Act of 1962 to impose tariffs or other restrictions on imports deemed to threaten national security, including potentially with respect to semiconductors and products incorporating semiconductors. As a fabless semiconductor company that relies on a predominantly non-U.S. manufacturing and supply chain, the imposition of Section 232 measures could increase costs, disrupt supply chains, reduce customer demand, or place us at a competitive disadvantage relative to companies with different manufacturing footprints. Section 232 actions may be imposed with limited notice and could prompt retaliatory measures by other countries, further increasing global trade uncertainty and adversely affecting our business and financial results. In 2025, the U.S. Department of Commerce initiated a Section 232 national security investigation relating to semiconductors and semiconductor manufacturing equipment, and the outcome of that investigation, including any resulting tariffs, quotas, or other restrictions, is uncertain and could be implemented with limited notice. In January 2026, the President issued a proclamation under Section 232 imposing an immediate 25% tariff on certain advanced semiconductor articles and announcing that broader tariffs on semiconductors, semiconductor manufacturing equipment, and derivative products may follow. The United States has also implemented Section 232 tariffs on imports of various additional commodities, including articles of steel, aluminum, copper, and timber, as well as passenger vehicles, trucks, and automotive parts.</w:t>
      </w:r>
    </w:p>
    <w:p>
      <w:pPr>
        <w:spacing w:after="0" w:line="19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Beginning in 2018, the U.S. government imposed significant additional tariffs of 7.5% to 25% on many items imported from China, including under Section 301 of the Trade Act of 1974, and the scope and rates of these tariffs have generally increased up to 100% on certain products (including a 50% tariff on certain Chinese semiconductor items beginning in early 2025). In late 2025, the U.S. Trade Representative concluded following an additional Section 301 trade investigation that China engaged in unfair trade acts, policies, and practices with respect to the semiconductor industry, and therefore announced an intention to implement an additional Section 301 tariff on Chinese semiconductors, in addition to the existing 50% Section 301 tariff, beginning on June 23, 2027.</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addition, the U.S. government has imposed additional duties under other legal authorities, and applicable duties may be increased, reduced, suspended, reinstated, or otherwise changed from time to time, and in some cases may be cumulative with other applicable duties or trade remedies. These measures include tariffs imposed between February 2025 and February 2026 pursuant to authorities asserted under the International Emergency Economic Powers Act (“IEEPA”), which were subsequently determined to be unauthorized by the U.S. Supreme Court; tariffs imposed between February 2026 and July 2026 pursuant to authorities asserted under Section 122 of the Trade Act of 1974; and tariffs imposed since July 2026 pursuant to authorities asserted under Section 301 of the Trade Act of 1974. In response to these measures and related threats and actions, China and other countries have responded by imposing or threatening to impose significant trade measures, including tariffs on many items imported from the United States and export controls restricting the export of gallium, germanium, and other rare earth materials to the United States. While these risks have been partially mitigated based on bilateral trade deals reached between the U.S. and China, which are currently in effect, these agreements are temporary and may be unstable. Such escalations in trade measures may directly impair our business by increasing trade-related costs or disrupting established supply chains and may indirectly impair our business by causing a negative effect on global economic conditions and financial markets. The ultimate impact of these trade measures is uncertain and may be affected by various factors, including whether and when such trade measures are implemented, the timing when such measures may become effective, and the amount, scope, or nature of such trade measures.</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Additional changes or threatened changes in U.S. trade measures have affected and may continue to affect trade involving additional countries, including countries in Europe. Each of these measures or threatened measures may instigate reciprocal countermeasures by affected countries, potentially accelerating further increases in trade measures. Certain announced or proposed tariffs have been delayed, modified, or made subject to negotiations, and there can be no assurance that such measures will not be implemented, expanded, reinstated, or increased. If the affected countries are unable to reach long-term agreements, or if the President were to impose significant new tariffs, the macroeconomic effect of any such tariffs could be significant. Tariffs or restrictions that specifically target imports of semiconductors or products incorporating semiconductors, including measures that could affect key manufacturing regions or supply chain routes (including under Section 232), could seriously and negatively affect our business and the U.S. economy overall. Depending on the ultimate outcomes and any governmental responses, tariff regimes could change rapidly, including through replacement measures under other legal authorities and potential uncertainty regarding refunds or retroactive treatment.</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materials subject to these tariffs may impact the cost or availability of raw materials used by our suppliers or in our customers’ products. The imposition of further tariffs by the United States on a broader range of imports, or further retaliatory trade measures taken by other countries in response to additional tariffs, could increase costs in our supply chain or reduce demand of our customers’ products, either of which could adversely affect our results of operations. Any increase in trade-related costs associated with such measures may impair the profitability of such international production, may strain our suppliers’ ability to reliably provide inputs necessary to produce these items, may otherwise affect our partners’ abilities to provide our products at previously contracted prices, and may limit our ability to absorb increased costs without raising prices to our customers. Any such price increases could reduce customer demand, delay or cancel customer orders, or cause customers to seek alternative solutions, which could adversely affect our revenue, market share, and operating results. Our business and financial results could be negatively affected as a result.</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customers or suppliers could also become subject to U.S. regulatory scrutiny or export restrictions. For example, the U.S. Justice Department has in the past filed criminal charges against one of our customers in China and imposed a licensing requirement on this customer with a policy of denial for some items, which has limited our ability to do business with this customer. If any of our current or future customers or suppliers become subject to similar actions, whether through criminal enforcement, inclusion on restricted-party lists, or expanded licensing requirements, our ability to conduct business with them could be limited or eliminated.</w:t>
      </w:r>
    </w:p>
    <w:p>
      <w:pPr>
        <w:spacing w:after="0" w:line="183"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Our AMI segment licenses platform firmware and infrastructure manageability software to, and provides updates and support for, server and other hardware manufacturers worldwide, including in China. If any of these customers become subject to export restrictions,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sanctions or restricted-party designations, or if export controls or sanctions are expanded to cover the firmware, software, updates or technical support we provide, we may be required to suspend or terminate licensing, update or support relationships with those customers, which could adversely affect our revenue and customer relationships and expose us to compliance costs and liabilities.</w:t>
      </w:r>
    </w:p>
    <w:p>
      <w:pPr>
        <w:spacing w:after="0" w:line="176"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2020, the U.S. imposed additional regulatory restrictions on the sale of U.S. controlled technology to customers in China. These restrictions include establishing additional licensing requirements in order to sell U.S.-originated technology for certain applications or to companies that participate in the Chinese national security supply chain. These restrictions also limit the fabrication of devices for certain Chinese companies where U.S. technology is involved in the fabrication process. Furthermore, in August 2020 the U.S. established additional licensing requirements for one of our China customers and its affiliates that limit any sales of products to that customer or for that customer’s products absent a license. The U.S. government has continued to and is likely to continue to add additional Chinese companies to restricted or prohibited party lists or impose additional licensing requirements that we may be unable to meet in a timely manner or at all. For example, the U.S. Department of Commerce’s Bureau of Industry and Security (“BIS”) has adopted, and then temporarily suspended, an interim final rule (the “Affiliates Rule”) that would extend certain entity-based licensing requirements to foreign entities owned 50% or more, directly or indirectly, individually or in the aggregate, by listed parties, whether or not those entities are themselves listed.</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Additionally, the U.S. government continued, and may expand, controls enacted in October 2022 restricting the ability to send certain products and technology related to semiconductors, semiconductor manufacturing, and supercomputing to China without an export license. In 2023 and 2024, the U.S. government expanded the list of advanced integrated circuits subject to heightened export controls, including certain hardware containing these specified integrated circuits, expanded the list of destinations requiring export authorization for such items, and added new restrictions based on the headquarters location of the parties involved. The U.S. government also continued, and may expand, the scope of restrictions on the development or production of advanced integrated circuits and certain semiconductor manufacturing equipment, certain AI-related computing technologies, and supercomputing in China and other countries, and may continue to expand or revise these controls, including through worldwide licensing requirements, outbound investment restrictions, end-use or end-user restrictions, reporting requirements, or enhanced due diligence expectations. The scope, implementation timing, and enforcement posture of such controls may change rapidly and with limited notice. Proposed regulations would expand these controls further and impose additional reporting requirements. Other foreign governments may in turn impose similar or more restrictive controls. These controls or any additional restrictions may impact our ability to export certain products to China or other countries, prohibit us from selling our products to certain of our customers, or impact our suppliers who may utilize facilities or equipment described in these controls. It also is possible that the Chinese government or other governments will retaliate in ways that could impact our business.</w:t>
      </w:r>
    </w:p>
    <w:p>
      <w:pPr>
        <w:spacing w:after="0" w:line="18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addition to restrictions on the sale or shipment of products, U.S. export control laws and regulations may apply to the transfer, sharing, or access of certain technology, software, source code, technical data, or know-how for research, development, engineering, testing, or support purposes, including through electronic access, remote collaboration, or internal development activities outside of the United States. Following the AMI Acquisition, these requirements may apply to additional firmware, software, source code, encryption functionality and related technical data used in our global research, development, engineering, testing and support activities. Such transfers or access may be deemed “exports” under applicable regulations, even when no product is sold and the activity is undertaken solely for internal development or cost-reduction purposes. As a result, our ability to expand, relocate, or optimize product development, engineering, or technical support activities in lower-cost or non-U.S. jurisdictions may be constrained by export licensing requirements, including requirements that are time-consuming, uncertain, subject to conditions, or subject to a policy of denial. If required licenses are delayed, denied, or granted only with restrictive conditions, we may be required to limit the scope of, delay, restructure, or forego certain development initiatives, incur additional compliance and administrative costs, or reallocate engineering resources to higher-cost locations. Any such limitations could reduce the expected benefits of our global development strategy, slow innovation, delay product development timelines, or adversely affect our operating efficiency and results of operations.</w:t>
      </w:r>
    </w:p>
    <w:p>
      <w:pPr>
        <w:spacing w:after="0" w:line="19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Where license requirements are imposed, there can be no assurance that the U.S. government will grant licenses to permit the continuation of business with these customers and our other operations. Future sanctions similar to those imposed in the past and to those recently imposed could adversely affect our ability to earn revenue from these and similar customers. In addition, the imposition of sanctions or other restrictions on customers in China may cause those customers to seek domestic alternatives to our products and those of other United States semiconductor companies. Further, the Chinese government has developed an unreliable entity list, which limits the ability of companies on the list to engage in business with Chinese customers. We cannot predict what impact these and future actions, sanctions or criminal charges could have on our customers or suppliers, and therefore our business. If any of our other customers or suppliers become subject to sanctions or other regulatory scrutiny, if our customers are affected by tariffs or other government trade restrictions, or if we become subject to retaliatory regulatory measures, our business and financial condition could be adversely affected.</w:t>
      </w:r>
    </w:p>
    <w:p>
      <w:pPr>
        <w:spacing w:after="0" w:line="292"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business operations expose us to various legal and regulatory risks, which could impact our business, operating results and financial condition.</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we fail to comply with the many laws and regulations to which we are subject, both within the United States and internationally, we may be subject to significant fines, penalties or liabilities for noncompliance, which could harm our business and financial results. For example, we are subject to federal, state and foreign laws and regulations concerning data privacy and security, including the EU General Data Protection Regulation (“GDPR”), and U.S. state and local laws that govern the privacy and security of information, such as the California Consumer Privacy Act (“CCPA”). Other countries outside of the European Union, including the United Kingdom and China, also have enacted robust legislation addressing privacy, data protection, and cybersecurity and providing for substantial penalties for noncompliance. We are also subject to a wide range of other U.S. and international laws and regulations applicable to us, including anti-corruption and anti-bribery laws (such as the U.S. Foreign Corrupt Practices Act (“FCPA”)), export controls and economic sanctions,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customs and trade compliance requirements, environmental, health and safety laws, product compliance and environmental regulations (such as restrictions on hazardous substances and electronic waste), conflict minerals and responsible sourcing requirements, competition and antitrust laws, employment and labor regulations, and tax laws and regulations. The AMI Acquisition has increased the number of jurisdictions in which we operate, and we are working to incorporate AMI’s operations into our compliance programs. The aforementioned regulatory frameworks and others around the world are evolving rapidly, and we anticipate that our efforts to comply with evolving laws and regulations addressing privacy, data protection, and cybersecurity will be a rigorous and time-intensive process that may increase our cost of doing business and may require us to change our policies and practices. Additionally, as a public company, we are subject to the requirements of federal securities laws, requirements of the Sarbanes-Oxley Act, the Dodd-Frank Wall Street Reform and Consumer Protection Act, the rules and regulations of the SEC, and the listing standards of the Nasdaq Stock Market. Noncompliance with these requirements could result in penalties, fines, liabilities, or reputational harm, which could harm our business or financial results. We are also subject to import/export regulations, rules regarding bulk data transfers, and applicable executive orders. These laws, regulations, and orders are complex, may change frequently and with limited notice, and have generally and may continue to become more stringent over time. Additionally, these local, national, and international regulatory frameworks and underlying rules and regulations may conflict with each other, resulting in uncertainty in their application or interpretation.</w:t>
      </w:r>
    </w:p>
    <w:p>
      <w:pPr>
        <w:spacing w:after="0" w:line="18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Any inability or perceived inability to adequately comply with applicable laws or regulations could result in claims, demands, and litigation by private actors or governmental authorities, investigations and other proceedings by governmental authorities, injunctive relief, fines, penalties, and other liabilities, any of which may harm our reputation and market position and could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Manufacturing our Products</w:t>
      </w:r>
    </w:p>
    <w:p>
      <w:pPr>
        <w:spacing w:after="0" w:line="117"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subcontractors to supply and fabricate silicon wafers and to perform assembly and test operations for our semiconductor products. If they are unable to do so on a timely and cost-effective basis in sufficient quantities and using competitive technologies, we may incur significant costs or delays.</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operate a primarily outsourced manufacturing business model that principally utilizes contract manufacturers, such as third-party wafer foundries. We rely on foundries in Japan, Korea and Taiwan to supply and fabricate silicon wafers for our semiconductor products, including Taiwan Semiconductor Manufacturing, Samsung Semiconductor, United Microelectronics Corporation, and Seiko Epson. We rely on our OSATs in Malaysia, Taiwan and Japan to support the packaging and test of our products, including Advanced Semiconductor Engineering and Amkor Technology. Our success is dependent upon our ability to successfully partner with our foundry and OSAT suppliers and their ability to produce wafers and finished semiconductor products with competitive prices and performance attributes, including smaller process geometries, which ability may be impacted by labor market disruptions and rising inflation. Further, geopolitical tensions in East Asia, including heightened tensions between China and Taiwan, present additional and significant risks to our outsourced manufacturing model, and any escalation of military conflict, trade restrictions, sanctions, blockades, or other disruptions in the region could adversely affect our foundry and OSAT partners, regional logistics and transportation networks, or the availability of materials, equipment, and labor necessary to support semiconductor manufacturing and testing.</w:t>
      </w:r>
    </w:p>
    <w:p>
      <w:pPr>
        <w:spacing w:after="0" w:line="19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have recently faced constraints in portions of our supply chain that limit our ability to fully satisfy customer demand. These constraints have limited, and may continue to limit, our ability to fulfill customer orders and recognize revenue in the amounts or periods we otherwise might have achieved. Our efforts to increase supply include working with our third-party manufacturing and test providers to secure additional capacity, as well as acquiring additional test equipment. These efforts are subject to capacity limitations, equipment availability, extended lead times and other constraints.</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When our supply is constrained, we must allocate available product supply and available manufacturing capacity from our third-party manufacturing and test providers among customers based in part on anticipated customer requirements. Customer forecasts and indications of demand may change and may not accurately reflect customers’ ultimate requirements or timing. As a result, the timing, product mix or allocation of our available supply may not correspond to actual customer demand. Our inability to provide particular products when and where customers require them has resulted, and may continue to result, in delayed or lost sales, reduced customer satisfaction, changes in purchasing behavior or customers seeking alternative suppliers.</w:t>
      </w:r>
    </w:p>
    <w:p>
      <w:pPr>
        <w:spacing w:after="0" w:line="18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Establishing, maintaining and managing multiple foundry and OSAT relationships requires the investment of management resources and costs, and we have limited ability to mitigate disruptions in the near term through alternative sourcing or internal production. Qualifying and establishing reliable production at acceptable yields with a new contract manufacturer is a lengthy and often expensive process, and there is no guarantee we could timely find alternative contract manufacturers or at all. If we fail to maintain our foundry and OSAT relationships, if these partners do not provide facilities and support for our development efforts, if they are insolvent or experience financial difficulty, if their operations are interrupted by a widespread public health hazard, or if we elect or are required to change foundries or OSATs, we may incur significant costs and delays. If our foundry or OSAT partners are unable to, or do not, manufacture sufficient quantities of our products at acceptable yields, we may be required to allocate the affected products among our customers, prematurely limit or discontinue the sales of certain products, or incur significant costs to transfer products to other foundries or OSATs, which could adversely affect our customer relationships and operating results. Further, our subcontractors are themselves subject to many of the same operational and business risks that we face and describe herein, including many operating in regions with significant geopolitical risk, that, if they occur and are disruptive to their operations, could adversely affect 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- 38 -</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margins are dependent on our achieving continued yield and quality improvements, cost reductions, the supply and cost of wafers and materials, and the mix of our business.</w:t>
      </w:r>
    </w:p>
    <w:p>
      <w:pPr>
        <w:spacing w:after="0" w:line="5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rely on obtaining yield, quality, productivity, and logistic improvements and corresponding cost reductions in the manufacture of existing products and on introducing new products that incorporate advanced features and other price/performance factors that enable us to increase revenues while maintaining acceptable margins. To the extent that such cost reductions and new product introductions do not occur in a timely manner, because of inflation, increases in personnel costs, employee turnover, or other factors, or that our products experience significant quality or reliability issues, or do not achieve market acceptance or market acceptance at acceptable pricing, our margins, operating results, and financial condition could be materially adversely affected.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anticipated growth also depends in part on increases in future manufacturing and test capacity available from our third-party manufacturing and test providers, including capacity that is not yet available and whose successful development, qualification and ramp depends substantially on those providers and their equipment suppliers. New or expanded third-party manufacturing and test capacity, production lines and related equipment may not become available when expected, may experience construction, equipment, qualification, yield, quality or ramp delays, or may fail to provide the capacity, performance or economics we anticipate. Our revenue forecasts and growth expectations depend in part on assumptions regarding the availability and timing of this additional third-party capacity.</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Furthermore, worldwide manufacturing capacity available for the production of our products may be impacted by many factors which may impact availability and cost. If the demand for silicon wafers or assembly material exceeds market supply, or if suppliers increase prices to cover the cost of rising inflation, our supply of silicon wafers or assembly material could quickly become limited or prohibitively expensive. A shortage in third-party manufacturing or test capacity available to us could hinder our ability to meet product demand and therefore reduce our revenue. Silicon wafers constitute a material portion of our product cost, and if we are unable to purchase wafers at favorable prices, due to supply constraints, inflation, or other factors, our margins, results of operations, and financial condition may be adversely affected.</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order to secure sufficient supply, we may enter into long-term supply arrangements or make minimum purchase, volume or other commitments to our suppliers. Although these arrangements may improve our access to supply, they may reduce our ability to adjust purchases in response to changes in customer demand, product mix, market conditions or our business strategy. If actual demand is lower than we anticipate, or if our product or technology requirements change, these commitments could result in excess or obsolete inventory, inventory write-downs, increased working capital requirements, or obligations to purchase products or capacity that we are unable to use or sell on favorable terms, which could adversely affect our results of operations and financial condition.</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consolidated gross margin also depends on the relative contribution of our FPGA and AMI segments, which have different cost structures and margin profiles, and on the mix of products, licenses and services within each segment. Changes in this mix could cause our consolidated gross margin to fluctuate from period to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warranty claims, costs relating to product security vulnerabilities, and other costs related to our products.</w:t>
      </w:r>
    </w:p>
    <w:p>
      <w:pPr>
        <w:spacing w:after="0" w:line="12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In general, we warrant our products for varying lengths of time against non-conformance to our specifications and certain other defects. From time to time, we may be subject to warranty and/or epidemic failure claims, disputes, or other assertions of product non-conformance by customers. Because our products, including hardware, software, and intellectual property cores, are highly complex and increasingly incorporate advanced technology, our quality assurance programs may not detect all defects, whether these are specific manufacturing defects affecting individual products or these are systemic defects that could affect numerous shipments. Our inability to detect a defect could result in a diversion of our engineering resources from product development efforts, increased engineering expenses to remediate the defect, and increased costs due to customer accommodation or inventory impairment charges. On occasion, we have also repaired or replaced certain components, made software fixes, or refunded the purchase price or license fee paid by our customers due to product or software defects. Our insurance may be inadequate to protect against these issues. If there are significant product defects, the costs to remediate such defects, net of reimbursed amounts from our vendors, if any, or to resolve warranty claims may adversely affect our financial condition and results of operations and may harm our reputation.</w:t>
      </w:r>
    </w:p>
    <w:p>
      <w:pPr>
        <w:spacing w:after="0" w:line="19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Our AMI segment’s platform firmware and infrastructure manageability solutions are incorporated into servers and other computing systems. Security vulnerabilities or defects in these products, including vulnerabilities arising from third-party or open-source components, could adversely affect our customers’ systems and require us to develop and distribute updates, provide remediation support, respond to customer or regulatory claims, or incur other costs. Any actual or perceived vulnerability could harm our reputation and customer relationships.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Intellectual Property</w:t>
      </w:r>
    </w:p>
    <w:p>
      <w:pPr>
        <w:spacing w:after="0" w:line="11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and firmware licensing components of our business increase our business risk and the fluctuation of our revenue and margins.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business strategy includes licensing our intellectual property, and, following the AMI Acquisition, licensing firmware and related software, to companies that incorporate it into their technologies that address multiple markets, including markets where we participate and compete. Our licensing and services revenue may be impacted by the introduction of new technologies by customers in place of the technologies we license, changes in the law that may weaken our ability to prevent the use of our patented technology by others, the expiration of our patents, and changes of demand or selling prices for products using licensed patents. We cannot assure that our licensing customers will continue to license our technology on commercially favorable terms or at all, or that these customers will introduce and sell products incorporating our technology, accurately or timely report royalties owed to us, pay agreed upon royalties, honor agreed upon market restrictions, or maintain the confidentiality of our proprietary information, or will not infringe upon or misappropriate our intellectual property. Our intellectual property and firmware licensing agreements are complex and may depend upon many factors that require significant judgments, including completion of milestones, allocation of values to delivered items and customer acceptance.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1140"/>
          </w:cols>
          <w:pgMar w:left="320" w:top="482" w:right="439" w:bottom="434"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sale of patents and intermittent significant licensing transactions can cause material fluctuations in our revenue and gross margins.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generated revenue from the sale of certain patents from our portfolio in the past, generally for non-core technology that we are no longer actively developing. Any future efforts to monetize our patent portfolio through sales of non-core patents may not realize adequate interest or prices for those patents. Accordingly, we cannot provide assurance that we will continue to generate revenue from these sales. In addition, although we seek to be strategic in our decisions to sell patents, we might incur reputational harm if a purchaser of our patents sues one of our customers for infringement of the purchased patent, and we might later decide to enter a space that requires the use of one or more of the patents we sold. In addition, as we sell groups of patents, we no longer have the opportunity to further sell or to license those patents and receive a continuing royalty stream.</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licensing and services revenue fluctuates, sometimes significantly, from period to period because it is heavily dependent on a few key transactions being completed in a given period, the timing of which is difficult to predict and may not match our expectations. licensing and services revenue may include revenue from the sales of patents, which may be difficult to complete and which may have complex terms for the payment which affects revenue recognition. Because of its high margin, the licensing and services revenue portion of our overall revenue can have a disproportionate impact on gross profit and profitability. In addition, generating revenue from patent sales and intellectual property licenses is a lengthy and complex process that may last beyond the period in which our efforts begin, and the accounting rules governing the recognition of revenue from patent sales and intellectual property licensing transactions are increasingly complex and require significant judgment. As a result, the amount of license revenue recognized in any period may differ significantly from our expectations.</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intellectual property rights globally, or if our use of third-party or open-source technology is challenged, our financial results and our ability to compete effectively may suffer.</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proprietary technology, and we rely upon patent, copyright, trade secret, mask work, and trademark laws to protect our intellectual property globally. We intend to continue to protect our proprietary technology, however, we may be unsuccessful in asserting our intellectual property rights or such rights may be invalidated, violated, circumvented, or challenged. From time to time, third parties, including our competitors, have asserted against us patent, copyright, and other intellectual property rights to technologies that are important to us. Third parties may attempt to misappropriate our intellectual property through electronic or other means or assert infringement claims against us in the future. Such assertions by third parties may result in costly litigation, indemnity claims, or other legal actions, and we may not prevail in such matters or be able to license any valid and infringed patents from third parties on commercially reasonable terms. This could result in the loss of our ability to import and sell our products or require us to pay costly royalties to third parties in connection with sales of our products. Any infringement claim, indemnification claim, or impairment or loss of use of our intellectual property could materially adversely affect our financial condition and results of operations.</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products, including our AMI segment’s firmware and software, incorporate technology licensed from third parties and open-source software. If these licenses become unavailable on commercially reasonable terms, or if we fail to comply with their terms, including open-source license obligations, we could be required to re-engineer products, cease distributing certain products, release proprietary source code, or pay damages or royalties. Our agreements with customers often include intellectual property indemnification obligations, which could require us to incur significant costs to defend or settle claims made against our customers.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Overall Business &amp; Operations</w:t>
      </w:r>
    </w:p>
    <w:p>
      <w:pPr>
        <w:spacing w:after="0" w:line="11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use of information technology systems. A failure of these systems, cybersecurity incidents, or cyber-fraud may cause business disruptions, compromise our intellectual property or other sensitive information, or result in losses.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(“IT”) networks and systems to collect, process, maintain, use, share, disseminate, and dispose of our information and manage our operations, including financial reporting. Our IT systems are subject to power and telecommunication outages and other system failures and disruptions. Further, despite our security measures, our IT systems may be vulnerable to cybersecurity threats and suffer cybersecurity incidents. The frequency, sophistication and impact of cybersecurity threats continue to evolve, including through the use of AI-enabled tools by threat actors, which may increase the effectiveness of phishing, social engineering, fraud and other attacks. These systems are also supported by subcontractors and third-party providers who may also be subject to power and telecommunication outages or other general system failures and disruptions and cybersecurity threats and cybersecurity incidents. The legal, regulatory and contractual environments surrounding information security, data privacy, and data protection are complex and evolving. We continue to commit significant resources to implementing new systems to standardize our processes worldwide and to develop our capabilities in these areas. We are focused on realizing the full analytical functionality of these conversions, which can be extremely complex, in part, because of the wide range of legacy systems and processes that must be integrated.</w:t>
      </w:r>
    </w:p>
    <w:p>
      <w:pPr>
        <w:spacing w:after="0" w:line="19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and as we integrate AMI’s IT systems, networks and applications with our own, we may implement new or updated IT systems and, as a result, we may experience delays or disruptions in the integration of these systems, or the related procedures or controls. The policies and security measures established with our IT systems may be vulnerable to cybersecurity incidents such as security breaches and cyberattacks, or cyber-fraud. We may also encounter corruption or loss of data, an inability to accurately process or record transactions, and security or technical reliability issues. All of these could harm our ability to conduct core operating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functions such as processing invoices, shipping and receiving, recording and reporting financial and management information on a timely and accurate basis, and could impact our internal control compliance efforts. If the technical solution or end user training are inadequate, it could limit our ability to manufacture and ship products as planned. Moreover, the proper functioning of the internal processes that the IT systems and networks support relies on qualified employees. Competition for qualified employees is intense, global, and has increased across the global economy, and in particular in the United States. Employee turnover could lead to disruptions in our processes, inadequate end user training or difficulty updating our IT systems and networks.</w:t>
      </w:r>
    </w:p>
    <w:p>
      <w:pPr>
        <w:spacing w:after="0" w:line="16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maintain sensitive data on our networks and on the networks of our business partners and third-party providers, including proprietary and confidential information relating to our intellectual property, personnel, and business, and that of our customers and third-party providers. Companies have been increasingly subject to a wide variety of cybersecurity incidents such as cyberattacks, hacking, phishing, malware, ransomware, and other attempts to gain unauthorized access to systems or data, or to engage in fraudulent behavior. Cyberattacks have become more prevalent, sophisticated and much harder to detect and defend against and it is often difficult to anticipate or detect such incidents on a timely basis and to assess the damage caused by them. In addition, our agreements with third-party providers, including but not limited to the liability limitations and insurance provisions contained in such agreements, may be inadequate to cover the liability, if any, associated with any security breaches. Increasing geopolitical tensions or conflicts have also created, and may continue to create, a heightened risk of cyberattacks. Further, AI and other evolving technologies, including AI technologies that may be used to identify and exploit security vulnerabilities, may also increase the prevalence and impact of cyberattacks. Our policies and security measures cannot guarantee security, and our IT infrastructure, including our networks and systems, may be vulnerable to security breaches and cybersecurity incidents, cyberattacks, or cyber-fraud. In the past, third parties have attempted to penetrate and/or infect our network and systems with malicious software and phishing attacks in an effort to gain access to our network and systems. In addition, we are subject to the risk of third parties falsifying invoices and similar fraud, including by obtaining unauthorized access to our vendors’ and business partners’ networks. Although past threats and incidents have not resulted in a material adverse effect, we may incur material losses related to cybersecurity and other threats or incidents in the future.</w:t>
      </w:r>
    </w:p>
    <w:p>
      <w:pPr>
        <w:spacing w:after="0" w:line="196"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some circumstances, we may partner with third-party providers and provide them with certain data, including sensitive data, or the ability to access or otherwise process such data. These third parties also face substantial security risks from a variety of sources. There can be no assurance that any security measures that we or our third-party service providers have implemented will be effective against current or future security threats, and we cannot guarantee that our systems and networks or those of our third-party service providers have not been breached or otherwise compromised, or that they and any software in our or their supply chains do not contain bugs, vulnerabilities, or compromised code that could result in a breach of or disruption to our systems and networks or the systems and networks of third parties that support us and our services. If any of our third-party providers fails to adopt or adhere to adequate data security practices, or suffers a security breach or incident, any data, including sensitive data, that we provide them or that they otherwise may access or process for us may be improperly accessed, used, disclosed, modified, lost, destroyed, or rendered unavailable. Any security breaches or incidents that we or our third-party providers may suffer could compromise our intellectual property, expose sensitive business information and otherwise result in unauthorized access to or disclosure, modification, misuse, loss, destruction, or other processing of sensitive information. We may need to expend significant financial and development resources to analyze, correct, eliminate, or work around errors or defects or to eliminate or otherwise address security vulnerabilities, and we and our third-party service providers may face difficulties or delays in identifying or otherwise responding to any potential security breach or incident. Third parties and supply chain participants also may be targeted with AI-enhanced attacks, and vulnerabilities in third-party software, services, or technology supply chains could provide additional avenues for compromise.</w:t>
      </w:r>
    </w:p>
    <w:p>
      <w:pPr>
        <w:spacing w:after="0" w:line="19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Further, the increase in cyberattacks has resulted in an increased focus on cybersecurity by certain government agencies. Any cyberattack or other security breach or cybersecurity incident that we or our third-party providers may suffer, or the perception that any such attack, breach, or incident has occurred, could result in a loss of customer confidence in our security measures, damage to our brand, reputation, and market position, result in unauthorized access to or disclosure, modification, misuse, loss, corruption, unavailability, or destruction of our data or other sensitive data that we or our third-party providers process or maintain, disrupt normal business operations, require us to spend material resources to investigate or correct any breach or incident and to prevent future security breaches and incidents, expose us to legal claims and liabilities, including litigation, regulatory investigations and enforcement actions, and indemnity obligations, and adversely affect our revenues and operating results. Further, any such actual or perceived breach or incident, and any claims, demands, litigation, or investigations or enforcement actions related to cybersecurity could cause us to incur significant remediation costs, result in product development delays, disrupt key business operations, and divert attention of management and key IT resources. In addition, we may incur loss as a result of cyber-fraud, such as those experienced by other companies by making unauthorized payments irrespective of robust internal controls.</w:t>
      </w:r>
    </w:p>
    <w:p>
      <w:pPr>
        <w:spacing w:after="0" w:line="19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Failure or disruptions of our IT systems or difficulties or delays in maintaining, managing, and integrating them could adversely affect our controls and procedures and could impact our ability to perform necessary operations, which could materially adversely affect our business.</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costs of maintaining our cybersecurity risk management program, as well as the costs of mitigating cybersecurity risks, are significant and are likely to increase in the future. These costs include, but are not limited to, maintaining software and services to prevent and detect cybersecurity threats and incidents, retaining the services of cybersecurity providers; compliance costs arising out of existing and future cybersecurity, data protection and privacy laws and regulations; and costs related to maintaining redundant networks, data backups and other damage-mitigation measures. We cannot be certain that our insurance coverage will be adequate for cybersecurity liabilities incurred and, will cover any indemnification claims against us relating to any incident, that insurance will continue to be available to us on economically reasonable terms, or at all, or that any insurer will not deny coverage as to any future claim.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- 41 -</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depend on accounting estimates and judgments, including with respect to revenue from AMI’s firmware licensing and related service arrangements, and changes in accounting standards could affect our results of operations and business practices.</w:t>
      </w:r>
    </w:p>
    <w:p>
      <w:pPr>
        <w:spacing w:after="0" w:line="5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which requires us to make estimates, judgments and assumptions that affect the amounts reported in our financial statements. The AMI Acquisition has added revenue arrangements and purchase-accounting matters that require additional estimates and judgments. AMI’s arrangements include firmware licenses and related support and other services, which often involve multiple performance obligations. Accounting for these arrangements requires judgment in identifying performance obligations, determining standalone selling prices, including through estimation methods when observable standalone sales are not available, allocating transaction consideration among the performance obligations, and determining the timing of revenue recognition. Certain arrangements may also depend on the accuracy and timeliness of usage or royalty reports provided by customers.</w:t>
      </w:r>
    </w:p>
    <w:p>
      <w:pPr>
        <w:spacing w:after="0" w:line="18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Changes in our estimates or judgments, or new information about our arrangements, could cause the amount or timing of the revenue we recognize to differ from our expectations and could cause our results to fluctuate from period to period. Our accounting for the AMI Acquisition also required significant estimates, including in the allocation of the purchase price to the assets acquired and liabilities assumed. See also “We have recorded a significant amount of goodwill and acquired intangible assets, primarily in connection with the AMI Acquisition, and we may be required to record impairment charges that could adversely affect our results of operations” above.</w:t>
      </w:r>
    </w:p>
    <w:p>
      <w:pPr>
        <w:spacing w:after="0" w:line="183"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Accounting principles are subject to interpretation by the American Institute of Certified Public Accountants, the SEC and various bodies formed to interpret and create accounting rules and regulations. Changes in these rules have occurred in the past and future changes to these rules, or in the guidance relating to interpretation and adoption of the rules, could have a material effect on our financial results and could affect portions of our business differently.</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tax laws, and our global organizational, intellectual property, and intercompany structure, including as a result of the integration of AMI, could expose us to unanticipated tax consequences.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subject to taxation in the United States and other countries. Certain tax positions may remain open to examination for several years. Challenges by tax authorities to our previous tax positions and intercompany transfer pricing arrangements, and continuing assessments of our tax exposures may have an adverse effect on our provision for income taxes and cash tax liability. We operate legal entities in multiple countries and maintain intercompany cost-sharing, licensing, and other transfer pricing arrangements, that are intended to align our corporate structure with our global business operations. Following the AMI Acquisition, we are evaluating how to integrate AMI’s legal entities, intellectual property ownership, and intercompany arrangements with our existing global organizational and tax structure. This evaluation may result in changes to the ownership or location of our intellectual property, our legal entity structure, or our intercompany cost-sharing, licensing and other transfer pricing arrangements. Implementing any of these changes could result in significant tax costs or affect our effective tax rate. Tax authorities may also challenge the tax treatment of these changes or the pricing of our intercompany arrangements, and any integration we complete may fail to produce the anticipated benefits. Changes in the composition of our earnings among jurisdictions with different tax rates, including as a result of the AMI Acquisition, and limitations on our ability to deduct interest expense on our indebtedness, may also affect the taxes we pay or the tax provision we record, which could adversely affect our results of operations. Our ability to transfer cash among jurisdictions and legal entities may also be subject to tax costs, legal restrictions, and other limitations, which could affect the availability of cash for debt service or other corporate purposes.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also may be impacted by changes in the tax laws of the United States and foreign jurisdictions. U.S. and foreign tax legislation may be enacted, amended, or repealed from time to time, and such changes may have retroactive or prospective effects and may require significant interpretation or judgment in their application. A number of countries, as well as organizations such as the Organisation for Economic Co-operation and Development (“OECD”), which represents a coalition of member countries, support the 15% global minimum tax initiative, and have adopted or intend to adopt laws to implement this initiative. On January 5, 2026, the OECD announced a “side-by-side” elective safe harbor that may provide qualifying U.S.-parented multinational groups relief from certain aspects of the global minimum tax regime for taxable years beginning on or after January 1, 2026. The safe harbor does not eliminate qualified domestic minimum top-up taxes or similar domestic minimum taxes that may be imposed by individual jurisdictions. Such changes, as well as changes in taxing jurisdictions’ administrative interpretations, decisions, policies, and positions, could have a material adverse effect on our business, results of operations, or financial condition. In addition, future effective tax rates could be affected by changes in the valuation of deferred tax assets and liabilities.</w:t>
      </w:r>
    </w:p>
    <w:p>
      <w:pPr>
        <w:spacing w:after="0" w:line="298"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and our foreign currency risk management and hedging activities, could adversely affect our results of operations.</w:t>
      </w:r>
    </w:p>
    <w:p>
      <w:pPr>
        <w:spacing w:after="0" w:line="5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have significant global operations, including foreign sales and service activities and international operating and research and development sites, and we rely on foreign suppliers and service providers. As a result, financial results may be exposed to fluctuations in foreign currency exchange rates. Foreign currency movements may affect, among other things, the U.S. dollar cost of operating expenses and headcount in foreign locations, the pricing and cost of goods and services purchased from non-U.S. suppliers, the competitiveness of our products in certain markets, and the U.S. dollar value of foreign currency denominated assets and liabilities. These impacts can be difficult to predict, may occur rapidly, and may adversely affect our gross margin and operating results. In fiscal 2026, we began entering into foreign currency forward contracts, which we designate as cash flow hedges, to reduce the impact of exchange rate fluctuations on certain operating expenses denominated in currencies other than the U.S. dollar, and we may from time to time enter into other foreign currency risk management transactions. However, these activities may not be effective, may be costly to implement and maintain, and may expose us to additional risks, including: (i) hedges that do not offset underlying exposures due to forecasting error,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Timing mismatches, changes in exposure profile, or market illiquidity; (ii) adverse accounting impacts, including additional earnings volatility due to ineffectiveness or changes in hedge accounting treatment; (iii) counterparty credit risk, settlement risk, collateral or liquidity requirements, and operational risk in executing, monitoring, and governing a hedging program; and (iv) reduced ability to benefit from favorable foreign currency movements. Even if we pursue hedging strategies, foreign currency fluctuations could still have a material adverse effect on our financial condition and results of operations.</w:t>
      </w:r>
    </w:p>
    <w:p>
      <w:pPr>
        <w:spacing w:after="0" w:line="287" w:lineRule="exact"/>
        <w:rPr>
          <w:sz w:val="20"/>
          <w:szCs w:val="20"/>
          <w:color w:val="auto"/>
        </w:rPr>
      </w:pPr>
    </w:p>
    <w:p>
      <w:pPr>
        <w:jc w:val="both"/>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and business processes, including as we integrate AMI, our ability to report our financial results accurately and on time could be impaired.</w:t>
      </w:r>
    </w:p>
    <w:p>
      <w:pPr>
        <w:spacing w:after="0" w:line="5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We are required to maintain internal controls over financial reporting. We review these controls regularly and deficiencies may be identified from time to time. In the future, we may identify material weaknesses in our internal controls over financial reporting. Any failure to maintain an effective system of internal controls over financial reporting could limit our ability to report our financial results accurately and timely, which could adversely affect our business, financial results, and stock price.</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Before the AMI Acquisition, AMI was privately held and was not required to maintain internal control over financial reporting in accordance with Section 404 of the Sarbanes-Oxley Act. We have begun integrating AMI’s accounting, financial reporting and information technology processes into our control environment. As permitted by SEC guidance for recently acquired businesses, we expect to exclude AMI from the scope of management’s assessment of the effectiveness of our internal control over financial reporting as of the end of fiscal 2026 and to continue implementation, documentation, testing and training of controls across AMI’s operations during fiscal 2027. Incorporating AMI into our control environment increases the complexity of our financial reporting, and if we are unable to implement and maintain appropriate controls across the combined company in a timely manner, our ability to report our financial results accurately and on time could be impaired.</w:t>
      </w:r>
    </w:p>
    <w:p>
      <w:pPr>
        <w:spacing w:after="0" w:line="18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must also maintain high quality business processes, and we also use third-party IT vendors and their business processes. We rely on our and their business processes to, among other things, coordinate with our suppliers, manage our supply chain efficiently, manufacture high quality products and comply with various laws and regulations. Any failure by us, or by our third-party IT vendors, to maintain high quality business processes, or to effectively adjust our or their business processes to changing circumstances and needs, including in connection with the integration of AMI, could limit our ability to meet our business needs, which could adversely affect our business, financial results, and stock price.</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with others to attract and retain key personnel, and any loss of, or inability to attract, such personnel could adversely affect our ability to compete effectively.</w:t>
      </w:r>
    </w:p>
    <w:p>
      <w:pPr>
        <w:spacing w:after="0" w:line="5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We depend on the efforts and abilities of certain key members of management and other technical personnel. Our future success depends, in part, upon our ability to retain such personnel and attract and retain other highly qualified personnel, particularly product engineers who can respond to market demands and required product innovation. Following the AMI Acquisition, our workforce is larger and more geographically dispersed and includes employees with specialized firmware and software expertise, for whom competition is intense. Equity awards are an important component of our compensation, and declines or volatility in the trading price of our common stock may reduce their retention value. Competition for such personnel has been increasing generally throughout the economy, and we may not be successful in hiring or retaining new or existing qualified personnel. In recent years, we have conducted worldwide reductions in force, and we periodically conduct targeted workforce reductions, which could cause disruptions in our operations, negatively affect employee morale, and make us a less attractive employer in the market for new talent. If we lose existing qualified personnel or are unable to hire new qualified personnel, as needed, we could have difficulty competing in our highly competitive and innovative environment.</w:t>
      </w:r>
    </w:p>
    <w:p>
      <w:pPr>
        <w:spacing w:after="0" w:line="194"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Further, changes in immigration laws and regulations, or their administration or enforcement, may impair our ability to attract and retain qualified engineering personnel. In the U.S., where a portion of our research and development teams are located, tightening of immigration controls may adversely affect the employment status of non-U.S. engineers and other key technical employees or further impact our ability to hire new non-U.S. employees. Moreover, certain immigration policies in the U.S. may make it more difficult for us to recruit and retain highly skilled foreign national graduates of universities in the U.S., additionally limiting the pool of available talent, including in certain international markets where we operate and where competition for skilled engineering and technical talent is particularly strong, such as parts of Asia.</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Our success also depends significantly on the contributions of our senior management team. We have undergone senior management transitions in the past, and may experience such transitions in the future. Effective succession planning is important for our long-term success. Failure to ensure effective transfers of knowledge and smooth transitions involving senior management could hinder our strategic planning and execution. None of our senior management is bound by written employment contracts. The loss of any of our senior management or any inability to find suitable replacements could harm our ability to implement our business strategy and respond to the rapidly changing market conditions in which we operate.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adequately cover certain risks and, as a result, our financial condition and results may be adversely affected.</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carry insurance customary for companies in our industry, including, but not limited to, liability, property, and casualty; workers’ compensation; cyber liability; and business interruption insurance. We also insure our employees for basic medical expenses. In addition, we have insurance contracts that provide director and officer liability coverage for our directors and officers. Other than the specific areas mentioned above, we are self-insured with respect to most other risks and exposures, and the insurance we carry in many cases is subject to a significant policy deductible or other limitation before coverage applies. Based on management’s assessment and judgment,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- 43 -</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have determined that it is more cost effective to self-insure against certain risks than to incur the insurance premium costs. The risks and exposures for which we self-insure include, but are not limited to, certain natural disasters, certain product defects, certain matters for which we indemnify third parties, political risk, certain theft, patent infringement, and employment practice matters. Should there be a catastrophic loss due to an uninsured event (such as an earthquake) or a loss due to adverse occurrences in any area in which we are self-insured, our financial condition or operating results could be adversely affected.</w:t>
      </w:r>
    </w:p>
    <w:p>
      <w:pPr>
        <w:spacing w:after="0" w:line="287"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expectations depend in part on significant and rapidly evolving investment in AI and data-center infrastructure, and volatility in these markets, changes in investor sentiment relating to AI, and risks associated with AI and other emerging technologies may adversely affect our business, results of operations and the trading price of our common stock.</w:t>
      </w:r>
    </w:p>
    <w:p>
      <w:pPr>
        <w:spacing w:after="0" w:line="6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Demand for a portion of our products, including products sold into data center and server applications in our Compute and Communications end market and our AMI segment, depends on capital spending by cloud service providers, data center operators and other participants in AI infrastructure. The adoption of AI solutions and other emerging technologies may not develop in the manner or in the time periods we anticipate, and demand for products that support these technologies may be unpredictable and may vary significantly from period to period. Capital spending on AI-related infrastructure may fluctuate significantly and may be reduced or delayed. Our customers or end markets may reduce, delay or redirect their spending, including because of concerns about the cost of AI infrastructure or the returns on AI investments, a perceived or actual overbuild of AI capacity, limits on their ability to finance large infrastructure commitments, constraints on the availability of power and other resources needed for data center deployment, or changes in technology architectures, including the adoption of more efficient AI models, that reduce the need for certain components. Because a portion of our anticipated growth depends on these markets, any slowdown or change in investment could materially affect our growth rates, revenue and operating results.</w:t>
      </w:r>
    </w:p>
    <w:p>
      <w:pPr>
        <w:spacing w:after="0" w:line="19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addition, investor sentiment toward AI and companies that supply products used in AI infrastructure has been volatile, and changes in that sentiment may cause the trading price of our common stock to fluctuate significantly, regardless of our operating performance.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Even if these markets evolve in the manner we anticipate, if we do not have timely, competitively priced and market-accepted products available to meet customer needs in these areas, we may miss significant opportunities and our business, financial condition and results of operations could be materially and adversely affected.</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efforts to comply with laws and regulations worldwide relating to AI, data use, privacy, cybersecurity and product safety, and changes in those laws and regulations, may increase the costs of developing, marketing and supporting products used in AI applications and may limit their adoption.</w:t>
      </w:r>
    </w:p>
    <w:p>
      <w:pPr>
        <w:spacing w:after="0" w:line="162"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Concerns regarding the accuracy, security, bias, privacy, intellectual property implications or misuse of AI systems may reduce adoption, result in additional or expanded legal or regulatory requirements, or expose us or our customers to claims, investigations, reputational harm or additional compliance costs. In addition, regulatory and investor scrutiny of public statements regarding AI capabilities and plans continues to evolve, and any inaccurate or incomplete statements could result in litigation, regulatory inquiries, reputational harm and additional compliance costs.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also develop and offer AI-assisted tools that support semiconductor design and development workflows. These tools may generate inaccurate, incomplete or otherwise unreliable outputs, and their performance may depend in part on third-party AI models, software and services that we do not control. Although our tools may incorporate validation processes and allow users to review and verify outputs, these measures may not prevent errors or unintended results. Actual or perceived failures of our AI-assisted tools, or security, confidentiality, intellectual property or other concerns arising from their use or integration with third-party AI technologies, could adversely affect customer adoption, our reputation and our relationships with customers, or expose us to claims or additional regulatory requirements.</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and our employees, consultants and partners use third-party AI tools, and the governance of that use can be challenging. The use of these tools could expose our proprietary or confidential information, result in claims of intellectual property infringement or noncompliance with open-source requirements, introduce security vulnerabilities, or produce inaccurate outputs that lead to errors in our decision-making, product development or other business activities. Our ability to mitigate these risks will depend on maintaining, monitoring and enforcing appropriate policies governing the use of AI tools.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Climate and climate-related policies and regulations may have a long-term impact on our business.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Climate-related risks are inherent wherever our business is conducted. Global climate causes, and is projected to continue to cause, an increase in the frequency and intensity of certain natural disasters and adverse weather, such as power outages and grid instability, drought or other water scarcity, wildfires, storms, sea-level rise, flooding, severe heat, and severe cold, occurring more frequently or with greater intensity. Such extreme events are driving changes in market dynamics, stakeholder expectations, and local, national and international climate policies and regulations, any of which could result in disruptions to us, our suppliers, vendors, customers and logistics hubs, and may impact employees’ abilities to commute or to work from home effectively. These disruptions could make it more difficult and costly for us to deliver our products and services, obtain components or other supplies through our supply chain, maintain, or resume operations or perform other critical corporate functions, and could reduce customer demand for our products and services.</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increasing concern over climate could also result in transition risks such as shifting customer preferences. Changing customer preferences may result in increased expectations regarding our solutions, products, and services, including the use of packaging materials and other components in our products and their environmental impact. These expectations may cause us to incur additional costs or make other changes to our operations to respond to them, which could adversely affect our financial results. If we fail to manage transition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1120"/>
          </w:cols>
          <w:pgMar w:left="320" w:top="482" w:right="459" w:bottom="1082"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risks and customer expectations in an effective manner, customer demand for our solutions, products, and services could diminish, and our profitability could suffer. Concerns over climate, as well as the adoption of new laws or regulations, may also impact market dynamics and may result in shifts in customer expectations, preferences, or requirements, which may require us to change our practices or incur increased costs or adversely impact customer demand for our products and services.</w:t>
      </w:r>
    </w:p>
    <w:p>
      <w:pPr>
        <w:spacing w:after="0" w:line="180"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Additionally, concerns over climate have resulted in, and are expected to continue to result in, the adoption of legal and regulatory requirements designed to address climate, as well as legal and regulatory requirements requiring certain climate-related disclosures. Where new laws or regulations are more stringent than current legal or regulatory requirements, we may experience increased compliance burdens and costs to meet such obligations. These laws could cause us to incur additional direct costs for compliance, as well as indirect costs resulting from our customers, suppliers or both incurring additional compliance costs that are passed on to us. These legal and regulatory requirements, as well as investor expectations, on corporate environmental and social responsibility practices and disclosure, are subject to change, can be unpredictable, and may be difficult and expensive for us to comply with, given the complexity of our supply chain and our significant outsourced manufacturing. If we are unable to comply, or are unable to cause our suppliers or subcontractors to comply, with such policies or provisions or meet the requirements of our customers and investors, customers may stop purchasing products from us or an investor may sell their shares, and may take legal action against us, which could harm our reputation, revenue, and results of operations.</w:t>
      </w:r>
    </w:p>
    <w:p>
      <w:pPr>
        <w:spacing w:after="0" w:line="19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Climate dynamics also may reduce the availability or increase the cost of insurance for these negative impacts of natural disasters by contributing to an increase in the incidence and severity of such natural disasters. Ultimately, the impacts of climate, whether involving physical risks (such as disruptions resulting from climate-related events or rising sea levels) or transition risks (such as regulatory changes, changes in market dynamics or increased operating costs, including the cost of insurance) are expected to be widespread and unpredictable and may materially adversely affect our business and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Our Markets and Product Development</w:t>
      </w:r>
    </w:p>
    <w:p>
      <w:pPr>
        <w:spacing w:after="0" w:line="117"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routinely experiences cyclical market patterns and our products are used across different end markets. A significant downturn in the industry or in any of these end markets could cause a meaningful reduction in demand for our products and adversely affect our operating results.</w:t>
      </w:r>
    </w:p>
    <w:p>
      <w:pPr>
        <w:spacing w:after="0" w:line="6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subject to downturns, such as we have seen recently, and our revenue and gross margin can fluctuate significantly due to such downturns. These downturns can be severe and prolonged and can result in price erosion and weak demand for our products. Weak demand for our products resulting from general economic conditions affecting the end markets we serve, or the semiconductor industry specifically, and reduced spending by our customers can result, and in the past has resulted, in diminished product demand, high inventory levels, erosion of average selling prices, excess and obsolete inventories and corresponding inventory write-downs. Our expense levels are based, in part, on our expectations of future sales. Many of our expenses, particularly those relating to facilities, capital equipment, and other overhead, are relatively fixed. We might be unable to reduce spending quickly enough to compensate for reductions in sales. Accordingly, shortfalls in sales could adversely affect our operating results. Furthermore, any significant upturn in the semiconductor industry could result in increased competition for access to raw materials and third-party service providers.</w:t>
      </w:r>
    </w:p>
    <w:p>
      <w:pPr>
        <w:spacing w:after="0" w:line="188" w:lineRule="exact"/>
        <w:rPr>
          <w:sz w:val="20"/>
          <w:szCs w:val="20"/>
          <w:color w:val="auto"/>
        </w:rPr>
      </w:pPr>
    </w:p>
    <w:p>
      <w:pPr>
        <w:jc w:val="both"/>
        <w:ind w:left="120" w:right="220"/>
        <w:spacing w:after="0" w:line="289" w:lineRule="auto"/>
        <w:rPr>
          <w:sz w:val="20"/>
          <w:szCs w:val="20"/>
          <w:color w:val="auto"/>
        </w:rPr>
      </w:pPr>
      <w:r>
        <w:rPr>
          <w:rFonts w:ascii="Times New Roman" w:cs="Times New Roman" w:eastAsia="Times New Roman" w:hAnsi="Times New Roman"/>
          <w:sz w:val="17"/>
          <w:szCs w:val="17"/>
          <w:color w:val="auto"/>
        </w:rPr>
        <w:t>In addition to cyclical downturn risk, the semiconductor industry can also experience rapid and unpredictable upturns. If demand rebounds faster than our ability to secure manufacturing capacity, components, materials, or qualified personnel, or to scale our operations efficiently, we may face supply constraints, higher costs, lost revenue opportunities, competitive disadvantage, or an inability to meet customer requirements or delivery schedules.</w:t>
      </w:r>
    </w:p>
    <w:p>
      <w:pPr>
        <w:spacing w:after="0" w:line="15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Additionally, our products are used across different end markets, and demand for our products is difficult to predict and may vary within or among our Compute and Communications and Industrial and Embedded end markets. Following the AMI Acquisition, a larger portion of our business depends on demand for servers and other computing systems, and the performance of our AMI segment may be affected by cycles in server and data center spending that differ from those affecting our FPGA segment. Our target markets may not grow or develop as we currently expect, and demand may increase or change in one or more of our end markets, and changes in demand may reduce our revenue, lower our gross margin and affect our operating results. We have experienced concentrations of revenue at certain customers and within certain end markets, and we regularly compete for design opportunities at these customers and within these markets. Any deterioration in these end markets, reductions in the magnitude of revenue streams, our inability to meet design and pricing requirements, or volatility in demand for our products could lead to a reduction in our revenue and adversely affect our operating results. Our success in our end markets depends on many factors, including the strength or financial performance of the customers in our end markets, our ability to timely meet rapidly changing product requirements, market needs, and our ability to maintain design wins across different markets and customers to dampen the effects of market volatility. The dynamics of the markets in which we operate make prediction of and timely reaction to such events difficult.</w:t>
      </w:r>
    </w:p>
    <w:p>
      <w:pPr>
        <w:spacing w:after="0" w:line="190"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Investment related to AI infrastructure may increase volatility in semiconductor demand. If current investment levels or customer expectations are not sustained, reductions or delays in AI-related spending could contribute to a downturn in portions of the semiconductor industry or the end markets we serve.</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Due to these and other factors, our past results may not be reliable predictors of our future results. If we are unable to accomplish any of the foregoing, or to offset the volatility of cyclical changes in the semiconductor industry or our end markets through diversification into other markets, these factors could materially and adversely affect our business, financial condition, and operating results.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develop and introduce new products that achieve customer and market acceptance.</w:t>
      </w:r>
    </w:p>
    <w:p>
      <w:pPr>
        <w:spacing w:after="0" w:line="12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We compete in a dynamic environment characterized by rapid technology and product evolution, generally followed by a relatively longer process of ramping up to volume production on advanced technologies. Our end customers’ continued use of our products is frequently reevaluated, as certain of our customers’ product life cycles are relatively short and they continually develop new products. The selection process for our products to be included in our customers’ new products is highly competitive. There are no guarantees that our products will be included in the next generation of products introduced by these customers. Additionally, our markets are also characterized by evolving industry standards and increased demand for more features and performance, which requires higher levels of integration and more advanced process technology. Our competitive position and success depend on our ability to innovate, develop, and introduce new products that compete effectively on the basis of price, density, functionality, power consumption, form factor, and performance, and our ability to address the evolving needs of the markets we serve, among other things. With increased introduction of new products, we expect revenue related to mature products to decline over time in a normal product life cycle. As a result, we may be increasingly dependent on revenue derived from our newer products.</w:t>
      </w: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future growth and the success of new product introductions depend upon numerous factors, including:</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introduction of new product designs;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generate new design opportunities and design wins, including those which result in sales of significant volume;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necessary volume of production to achieve acceptable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customer adoption of new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utilize advanced manufacturing process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avoidance or management of significant quality or reliability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advanced packaging;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supporting software design tools;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predefined IP logic;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of advanced features in our new products;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update and support firmware and software that remains compatible with evolving processor, server and data center architectures and industry standards;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AMI’s business model, product and service offerings and commercial arrangements in a timely manner as customer requirements, technology and markets evolve;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customers’ products.</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failure of any of these factors, among others, could adversely affect our product innovation, development and introduction efforts and our financial condition and results of operations.</w:t>
      </w:r>
    </w:p>
    <w:p>
      <w:pPr>
        <w:spacing w:after="0" w:line="162"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The success of our AMI segment depends in part on our ability to continually develop and release firmware and software updates, including security updates, to support new platforms and customer requirements. Delays or defects in these releases, or our inability to keep pace with changes in the architectures and standards on which our customers’ systems are based, could adversely affect demand for our products and our customer relationships.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compete against companies that have significantly greater resources than us and numerous other product solutions.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semiconductor industry is highly competitive and many of our direct and indirect competitors have substantially greater financial, technological, manufacturing, marketing, and sales resources than us. While consolidation has occurred and may continue to occur in our industry, resulting in some competitors having greater scale, resources, or synergies, the industry has also experienced, and may continue to experience, restructurings, divestitures, or spin-offs of business units into independent companies. Such transactions may result in competitors that are more focused on particular markets or product lines, have increased strategic flexibility, or are more willing to invest aggressively or compete on pricing, which could intensify competition in certain segments. Whether through consolidation or deconsolidation, these industry dynamics could place us at a competitive disadvantage, including the ability to attract qualified employees, invest in product development, or absorb increased costs without raising prices. We also expect to face additional competition from new entrants in our markets, which may include both large domestic and international semiconductor manufacturers, as well as smaller, emerging companies. We currently compete directly with companies that have licensed our technology or have developed similar products, as well as numerous semiconductor companies that offer products based on alternative solutions, such as applications processor, application specific standard product, microcontroller, analog, and digital signal processing technologies. Competition from these semiconductor companies may intensify as we offer more products in any of our end markets. These competitors include established, multinational semiconductor companies, as well as emerging companies. Our AMI segment competes with other providers of platform firmware and infrastructure manageability solutions, internal development efforts by customers and potential customers, and open-source or other alternative solutions, some of which may be available at little or no direct cost. Additionally, our competitors may operate under more favorable regulatory environments or benefit from economic policies (such as subsidies or other protectionism) that provide them with additional competitive advantages.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increasing use of and participation in open-source software, particularly in our AMI business, subjects us to competitive, commercial, intellectual property and compliance risks.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Certain of our products and solutions, particularly within our AMI business, incorporate, interact with or are developed using open-source software, and AMI participates in and contributes to open-source firmware ecosystems. Open-source firmware and software solutions are an increasingly important part of the markets in which AMI competes, and customers, silicon providers, original equipment manufacturers, original design manufacturers and other industry participants may increasingly develop, customize, deploy or support open-source solutions internally or through third parties rather than purchase proprietary products, licenses or services from us. Open-source alternatives may be available at little or no direct cost and may reduce demand for, or place pricing pressure on, our proprietary firmware, software, support and services.</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strategy includes developing commercial products and services that incorporate or operate with open-source technologies while seeking to differentiate our offerings through proprietary technology, integration, validation, security, performance, support and other capabilities. There can be no assurance that we will be successful in maintaining sufficient differentiation or in developing and adapting our business and pricing models to monetize products and services based on or used with open-source technologies. Changes in customer preferences, industry standards, community-developed technologies or the level of investment by customers and other industry participants in open-source solutions could reduce our competitive differentiation, revenue or margins.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the use, modification and distribution of open-source software may subject us to license terms that impose obligations regarding attribution, redistribution, availability of source code, modification or licensing of derivative works. Our products may combine open-source components with proprietary technology, and interpreting and complying with applicable open-source licenses can be complex. If we or third parties acting on our behalf fail to comply with applicable license requirements, or if proprietary technology is determined to be subject to open-source licensing obligations, we could be required to make source code available, modify or discontinue affected products, obtain alternative technology or licenses, incur remediation costs, or face claims, reputational harm or other adverse consequences. Open-source components may also contain defects, vulnerabilities or other issues that we do not control and that may be difficult or costly to identify and remediate. Any of these developments could adversely affect our business, competitive position, results of operations and financial condition.</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independent contractors and third parties to provide key services in our product development and operations, and any disruption of their services, or an increase in cost of these services, could negatively impact our financial condition and results of operations.</w:t>
      </w:r>
    </w:p>
    <w:p>
      <w:pPr>
        <w:spacing w:after="0" w:line="5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depend on subcontractors to provide cost effective and efficient services in our product development and supply chain functions, including test and assembly services, software and hardware development, support of intellectual property cores, inventory management, lead time management, technical support, and order fulfillment.</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growth plans may depend on third parties successfully completing development, manufacturing, qualification, platform-launch or other activities on schedules we do not control. Delays or changes in those activities can affect the timing or amount of demand for our products even where we have executed our own obligations as planned.</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operations and operating results may be adversely affected if we experience problems with our subcontractors that impact the delivery of product to our customers. These problems may include: schedule delays or defects in software or hardware development deliverables; prolonged inability to obtain wafers or packaging materials with competitive performance and cost attributes; inability to achieve adequate yields or timely delivery; inability to meet customer timelines or demands; disruption or defects in assembly, test, or shipping services; or delays in stabilizing manufacturing processes or ramping up volume for new products. If our third-party supply chain providers were to reduce or discontinue services for us or their operations are disrupted as a result of a fire, earthquake, act of terrorism, political unrest, governmental uncertainty, war, disease, or other natural disaster or catastrophic event, weak economic conditions, inflation, recession, labor market disruptions, or any other reason, our financial condition and results of operations could be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Related to Our Sales and Revenue</w:t>
      </w:r>
    </w:p>
    <w:p>
      <w:pPr>
        <w:spacing w:after="0" w:line="117"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revenues depend on a highly concentrated distribution model and on a limited number of significant customers. An adverse change in these relationships, or in the performance or financial condition of these distributors or customers, could adversely affect our business and results of operations.</w:t>
      </w:r>
    </w:p>
    <w:p>
      <w:pPr>
        <w:spacing w:after="0" w:line="6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depend on a highly concentrated distribution model to sell our products to end customers, complete order fulfillment, maintain sufficient inventory of our products and provide services to our end customers. In fiscal 2025, revenue attributable to sales to distributors accounted for 84% of our total revenue, and two distributors accounted for approximately 69% of total revenue. In the third quarter of fiscal 2026, following the AMI Acquisition, revenue attributable to sales to distributors accounted for 81% of our total revenue. Our AMI segment sells primarily through direct customer relationships, which differ from our historical distribution-based model. Notwithstanding the addition of AMI’s direct-sales model, a substantial portion of our consolidated revenue continues to depend on a limited number of distributors and significant direct customers. As a result, our business is particularly dependent on the continued performance, financial condition, operational capabilities, and strategic priorities of a limited number of distributors. We have significant outstanding receivables with our top distributors, and expect our distribution model to generate a significant portion of our revenue in the future. Any adverse change to our relationships or agreements with our distributors, a failure by one or more of our distributors to perform its obligations to us, a reduction in a distributor’s business volume with us, any reduction in pricing on products sold to any key customer or distributor, or consolidation in the distribution industry, could have a material impact on our business, including a reduction in our access to certain end customers, our ability to sell our products, or our financial results.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anticipated growth may depend disproportionately on a relatively limited number of customers, platforms, programs or ecosystem participants, even where those parties do not currently account for a similarly significant percentage of our reported revenue. Changes in the timing, scope, requirements or commercial success of these programs, or decisions by customers or ecosystem partners to change their product roadmaps, production schedules or suppliers, could cause our future results to differ materially from our expectations.</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If our relationships with any material customers were to diminish, if these customers were to develop their own solutions or adopt alternative solutions or competitors’ solutions, if any one or more of our material customers were to experience significantly adverse financial conditions, including as a result of inflation, economic slowdown or recession, or labor market disruptions, or if as a result of trade disputes or sanctions these customers were restricted from purchasing our products, our results could be adversely affected.</w:t>
      </w:r>
    </w:p>
    <w:p>
      <w:pPr>
        <w:spacing w:after="0" w:line="180"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addition, the inability of customers to obtain credit, the insolvency of one or more customers, or tariffs applicable to our customers’ products, could impact our sales. Any of these effects could impact our ability to effectively manage inventory levels and collect receivables, require additional restructuring actions, and decrease our revenue and profitability.</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and length of our sales cycle makes our revenue, gross margin, net income, and inventory subject to fluctuation and difficult to accurately predict.</w:t>
      </w:r>
    </w:p>
    <w:p>
      <w:pPr>
        <w:spacing w:after="0" w:line="51" w:lineRule="exact"/>
        <w:rPr>
          <w:sz w:val="20"/>
          <w:szCs w:val="20"/>
          <w:color w:val="auto"/>
        </w:rPr>
      </w:pPr>
    </w:p>
    <w:p>
      <w:pPr>
        <w:jc w:val="both"/>
        <w:ind w:left="120" w:right="160"/>
        <w:spacing w:after="0" w:line="289" w:lineRule="auto"/>
        <w:rPr>
          <w:sz w:val="20"/>
          <w:szCs w:val="20"/>
          <w:color w:val="auto"/>
        </w:rPr>
      </w:pPr>
      <w:r>
        <w:rPr>
          <w:rFonts w:ascii="Times New Roman" w:cs="Times New Roman" w:eastAsia="Times New Roman" w:hAnsi="Times New Roman"/>
          <w:sz w:val="17"/>
          <w:szCs w:val="17"/>
          <w:color w:val="auto"/>
        </w:rPr>
        <w:t>A number of factors, including how products are manufactured to support end markets, yield, wafer pricing, cost of packaging raw materials, product mix, market acceptance of our new products, competitive pricing dynamics, product quality, geographic and/or end market mix, and pricing strategies, can cause our revenue, gross margins, net income, and inventory to fluctuate significantly either positively or negatively from period to period.</w:t>
      </w:r>
    </w:p>
    <w:p>
      <w:pPr>
        <w:spacing w:after="0" w:line="15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forecasts and expectations regarding future growth depend in part on bookings, backlog, design wins, customer forecasts, anticipated production ramps and other indications of future demand. These indicators are not necessarily predictive of future revenue and may be revised, delayed or canceled. A design win does not necessarily result in a customer order or significant revenue, and orders and backlog may not result in revenue in the amounts or periods anticipated. Customer forecasts similarly may change materially as customers adjust their inventories, product plans, capital spending or production schedules. Accordingly, actual demand, product ramps and revenue may differ materially from our expectations even when bookings, backlog, design-win activity or customer forecasts appear strong.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limited visibility into the demand for our products, particularly new products, because demand for our products depends upon our products being designed into our end customers’ products and those products achieving market acceptance. During our sales cycle, our customers typically test and evaluate our products prior to deciding to include our products into the design of their own products, and then require additional time to begin volume production of their products. This lengthy sales cycle may cause us to incur significant expenses, which could be exacerbated by rising inflation, significant production delays, or additional inventory costs before we receive a customer order that may be delayed or never get placed. A key strategic customer may demand certain design or production resources to meet their requirements or work on a specific solution, which could cause delays in our normal development schedule and result in significant investment of our resources or missed opportunities with other potential customers. We may incur these expenses without generating revenue from our products to offset the expenses.</w:t>
      </w:r>
    </w:p>
    <w:p>
      <w:pPr>
        <w:spacing w:after="0" w:line="192"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While our sales cycles are typically long, our average product life cycles can be short as a result of the rapidly changing technology environment in which we operate. From time to time, our inventory levels may be higher than historical norms due to inventory build decisions aimed at meeting expected demand, ramping for new products, reducing direct material cost, or enabling responsiveness to expected demand. In the event the expected demand does not materialize, or if our short product life cycle does not generate sufficient revenue, we may be subject to incremental excess and obsolescence costs.</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the timing of revenue from AMI’s firmware licensing and related service arrangements depends on contract terms, customer platform launches and customer reporting, which may not align with our expectations. These factors make it difficult for us to accurately forecast future sales and project quarterly revenues. The difficulty in forecasting future sales weakens our ability to meet customer product demands in a timely manner. While we may issue guidance, difficulty in forecasting financial performance, relative customer and product mix, and the unpredictability of unknown variables and their impact on our financial performance may impair the accuracy of our forward-looking financial measures.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requirements related to sales through our distribution channel could result in our reporting revenue in excess of demand.</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Revenue recognition standards require recognition of revenue based on estimates and may require us to record revenue from distributors that is in excess of actual end customer demand. Because we have limited ability to forecast inventory levels of our end customers, we depend on the timeliness and accuracy of resale reports from our distributors. Late or inaccurate resale reports could reduce the quality or timeliness of information available to us for forecasting channel inventory and end-customer demand, mask significant build-up of inventories in our distribution channel, and impact our ability to accurately forecast future sales. An inventory build-up in our distribution channel could result in a slowdown in orders, requests for returns from customers, or requests to move out planned shipments. If actual end-customer demand or distributor inventory levels differ from our estimates, future recorded revenue and operating results could be adversely impacted and we may be required to adjust shipment volumes, pricing, or channel terms in subsequent periods. Any failure to manage these challenges could disrupt or reduce sales of our products and adversely affect our financial results.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- 48 -</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effects of inflationary pressures, interest rate fluctuations, and recessionary or economic slowdown risks.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Global economic conditions have recently experienced historically high levels of inflation, and there is ongoing concern about the potential for recession and/or economic slowdown. While inflation has moderated in certain regions and categories, cost pressures remain uneven and persistent, particularly for labor, energy, transportation, and certain materials and services. Recent inflation caused by global supply chain disruptions, strong economic recovery and associated widespread demand for goods, and government stimulus packages, among other factors, continues to impact our business. For instance, global supply chain disruptions have resulted in shortages in materials and services. Such shortages have resulted in inflationary cost increases for labor, materials, and services across the economy, and could continue to cause costs to increase as well as scarcity of certain products. In addition, the cumulative effects of prior inflation and related monetary policy responses, including higher interest rates and tighter credit conditions, continue to affect global economic conditions and customer spending behavior. To the extent inflation, or government responses to inflation, results in rising interest rates and has other adverse effects on the market, including the possibility of recession, it may adversely affect our consolidated financial condition and results of operations. Because borrowings under the 2026 Credit Agreement bear interest at variable rates, increases in interest rates will also increase our interest expense.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cash flows, and financial condition and increase our costs and expenses.</w:t>
      </w:r>
    </w:p>
    <w:p>
      <w:pPr>
        <w:spacing w:after="0" w:line="121"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7"/>
          <w:szCs w:val="17"/>
          <w:color w:val="auto"/>
        </w:rPr>
        <w:t>Our worldwide operations and supply chain could be disrupted by natural or human-induced disasters including, but not limited to, earthquakes, tsunamis, or floods; hurricanes, cyclones, or typhoons; fires, or other extreme weather conditions; power or water shortages; telecommunications failures; materials scarcity and price volatility; manufacturing equipment failures; IT system failures; cybersecurity attacks; data breaches; medical epidemics or pandemics; terrorist acts, civil unrest, military actions, conflicts, or wars; or other natural or man-made disasters or catastrophic events.</w:t>
      </w:r>
    </w:p>
    <w:p>
      <w:pPr>
        <w:spacing w:after="0" w:line="16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occurrence of any of these business disruptions could adversely affect our competitive position and result in significant losses, decrease demand for our products, seriously harm our revenue, profitability and financial condition, increase our costs and expenses, make it difficult or impossible to provide services or deliver products to our customers or to receive components from our suppliers, create delays and inefficiencies in our supply chain, result in the need to impose employee travel restrictions, and require substantial expenditures and recovery time in order to fully resume operations. The impacts and frequency of any of the above could furthermore be exacerbated by climate dynamics, particularly in countries where we, or our suppliers or customers, operate that have limited infrastructure and disaster recovery resources.</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operations and those of our significant suppliers and distributors could be adversely affected if manufacturing, logistics, or other operations in key locations, including logistics hubs in Asia, are disrupted for any reason, such as those described above or other economic, business, labor, environmental, public health, regulatory or political reasons. In addition, even if our operations are unaffected or recover quickly, if our customers cannot timely resume their own operations due to a catastrophic event, they may reduce or cancel their orders, or these events could otherwise result in a decrease in demand for our products.</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may continue to be subject to volatility, and sales of substantial amounts of our common stock, including shares issued in the AMI Acquisition, could cause our stock price to decline.</w:t>
      </w:r>
    </w:p>
    <w:p>
      <w:pPr>
        <w:spacing w:after="0" w:line="5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Our common stock has experienced particularly substantial price volatility in the past, including price movements that have been more pronounced than those of the broader market, and may continue to do so in the future. Additionally, the technology industry and the stock market as a whole have experienced extreme volatility that often has been unrelated to the performance of particular companies. The trading price of our common stock has and may continue to fluctuate widely and rapidly due to various factors, including, but not limited to, actual or anticipated fluctuations in our financial condition and operating results; differences between our actual or anticipated results and our financial guidance, long-term expectations or the expectations of analysts or investors; changes in financial estimates by us or financial or other market estimates and ratings by securities and other analysts; our ability to develop new products, enter new market segments, gain market share, manage cybersecurity and litigation risk, diversify our customer base, and successfully secure manufacturing capacity; news regarding our products or products of our competitors; any mergers, acquisitions or divestitures of assets undertaken by us, including our ability to integrate AMI; our indebtedness; inflationary conditions, interest rate changes, and recessionary concerns; regulatory changes to international trade policies, economic sanctions, or export controls, such as new licensing requirements for exporting certain chip-related technology to China; terrorist acts or acts of war, including the ongoing conflict between Ukraine and Russia; epidemics and pandemics; trading activity in our common stock, including stock repurchases, actions by institutional or other large stockholders, or our inclusion in market indices; or general economic, industry, and market conditions worldwide. In addition, investor expectations and sentiment regarding emerging technology trends, including AI, anticipated changes in industry cycles, or potential strategic transactions, whether or not ultimately realized, may contribute to heightened volatility in our stock price.</w:t>
      </w:r>
    </w:p>
    <w:p>
      <w:pPr>
        <w:spacing w:after="0" w:line="19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part of the consideration for the AMI Acquisition, we issued shares of our common stock to THL AMI Aggregator, LP (“THL”) and other former AMI stockholders. These shares are subject to transfer restrictions that lapse as to 25% of the shares at the end of each successive 90-day period following the closing, with the restrictions lapsing in full on July 27, 2027. Under a registration rights agreement, THL and its affiliates are entitled to customary registration rights, including two underwritten block trades. Sales of a substantial number of shares of our common stock in the public market by THL or other holders, or the perception that such sales may occur, could depress the market price of our common stock and impair our ability to raise capital through the sale of equity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volatility of our stock may cause the value of a stockholder’s investment to change rapidly. Investors in our common stock may not realize any return on their investment in us and may lose some or all of their investment. Additionally, if our stock price declines, it may be more difficult for us to raise capital and may have other adverse effects on our business. Stock price fluctuations could impact the value of our equity compensation and the carrying value of our goodwill, which could affect our ability to recruit and retain employees. Volatility in the trading price of our common stock could also result in the filing of securities class action litigation matters, which could result in substantial costs and the diversion of management time and resources. For these reasons, investors should not rely on recent or historical trends to predict future trading prices of our common stock, financial condition, results of operations, or cash flows.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unfavorable results of legal proceedings could adversely affect our financial condition and operating results.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out of the ordinary conduct of our business. Certain claims may not yet be resolved, including but not limited to any that are discussed under Note 14—Contingencies to our Consolidated Financial Statements in Part I, Item 1 of this report, and additional claims may arise in the future. Results of legal proceedings cannot be predicted with certainty. Regardless of merit or outcome, claims or litigation may be both time-consuming and disruptive to our operations and cause significant expense and diversion of management attention and we may enter into material settlements to avoid these risks. Should we fail to prevail in certain matters or enter into a material settlement, we may be faced with significant monetary damages or injunctive relief against us that could materially and adversely affect our financial condition and operating results and certain portions of our business, and any insurance coverage we maintain may be insufficient to cover all costs, damages, or liabilities associated with such matters.</w:t>
      </w:r>
    </w:p>
    <w:p>
      <w:pPr>
        <w:spacing w:after="0" w:line="29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or other widespread public health problems could adversely affect our business, results of operations, and financial condition in a material way.</w:t>
      </w:r>
    </w:p>
    <w:p>
      <w:pPr>
        <w:spacing w:after="0" w:line="5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Pandemics, epidemics or other widespread public health problems could negatively impact our business. Outbreaks have resulted, and could again result, in significant government measures to control the spread of disease, including, among others, restrictions on travel, manufacturing, and the movement of employees. Jurisdictions in which we operate have had varying responses to pandemic and other widespread public health problems and the impact of such responses is difficult to anticipate. If, for example, pandemics were to occur in ways that significantly disrupt the manufacture, shipment, and buying patterns of our products or the products of our customers, this may materially negatively impact our operating results, including revenue, gross margins, operating margins, cash flows and other operating results, and our overall business. Disruptions to manufacturing and shipping could also constrain our supplies, leading to operational delays, disruptions and inflationary pressures. Our customers may also experience closures of their manufacturing facilities or inability to obtain other components, either of which could negatively impact demand for our solutions.</w:t>
      </w:r>
    </w:p>
    <w:p>
      <w:pPr>
        <w:spacing w:after="0" w:line="192" w:lineRule="exact"/>
        <w:rPr>
          <w:sz w:val="20"/>
          <w:szCs w:val="20"/>
          <w:color w:val="auto"/>
        </w:rPr>
      </w:pPr>
    </w:p>
    <w:p>
      <w:pPr>
        <w:jc w:val="both"/>
        <w:ind w:left="120" w:right="120"/>
        <w:spacing w:after="0" w:line="272" w:lineRule="auto"/>
        <w:rPr>
          <w:sz w:val="20"/>
          <w:szCs w:val="20"/>
          <w:color w:val="auto"/>
        </w:rPr>
      </w:pPr>
      <w:r>
        <w:rPr>
          <w:rFonts w:ascii="Times New Roman" w:cs="Times New Roman" w:eastAsia="Times New Roman" w:hAnsi="Times New Roman"/>
          <w:sz w:val="17"/>
          <w:szCs w:val="17"/>
          <w:color w:val="auto"/>
        </w:rPr>
        <w:t>The ultimate impact of a pandemic on our operations and financial performance depends on many factors that are not within our control, including, but not limited, to: governmental, business, and individuals’ responses; general economic uncertainty in key global markets; volatility in financial markets, labor markets, and supply chains; global economic conditions and levels of economic growth; and the pace of recovery when the pandemic subsides.</w:t>
      </w:r>
    </w:p>
    <w:p>
      <w:pPr>
        <w:spacing w:after="0" w:line="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Pandemics may negatively impact the overall economy and, as a result of the foregoing, could negatively impact our operating results and may do so in a material way. In particular, pandemics or other widespread public health problems may increase or change the severity of our other risks reported in this Quarterly Report on Form 10-Q.</w:t>
      </w:r>
    </w:p>
    <w:p>
      <w:pPr>
        <w:spacing w:after="0" w:line="290" w:lineRule="exact"/>
        <w:rPr>
          <w:sz w:val="20"/>
          <w:szCs w:val="20"/>
          <w:color w:val="auto"/>
        </w:rPr>
      </w:pPr>
    </w:p>
    <w:p>
      <w:pPr>
        <w:ind w:left="120" w:right="3920"/>
        <w:spacing w:after="0" w:line="378"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On December 5, 2025, we announced that our Board of Directors had approved a stock repurchase program pursuant to which up to $250 million of outstanding common stock could be repurchased from time to time (the “2026 Repurchase Program”). The 2026 Repurchase Program has no termination date and may be suspended or discontinued at any time.</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No shares were repurchased during the third quarter of fiscal 2026. As of October 3, 2026, the remaining portion of the amount authorized for the 2026 Repurchase Program is $235.0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 officers, as defined in Rule 16a-1(f), or directors adopted or terminated a “Rule 10b5-1 trading arrangement” or a “non-Rule 10b5-1 trading arrangement,” as defined in Regulation S-K Item 408, during the last fiscal quarter.</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0440"/>
          </w:cols>
          <w:pgMar w:left="320" w:top="482" w:right="11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0" w:type="dxa"/>
            <w:vAlign w:val="bottom"/>
            <w:gridSpan w:val="8"/>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7"/>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spacing w:after="0"/>
              <w:rPr>
                <w:sz w:val="24"/>
                <w:szCs w:val="24"/>
                <w:color w:val="auto"/>
              </w:rPr>
            </w:pPr>
          </w:p>
        </w:tc>
        <w:tc>
          <w:tcPr>
            <w:tcW w:w="24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Employment Agreement.</w:t>
            </w:r>
          </w:p>
        </w:tc>
        <w:tc>
          <w:tcPr>
            <w:tcW w:w="1880" w:type="dxa"/>
            <w:vAlign w:val="bottom"/>
          </w:tcPr>
          <w:p>
            <w:pPr>
              <w:spacing w:after="0"/>
              <w:rPr>
                <w:sz w:val="24"/>
                <w:szCs w:val="24"/>
                <w:color w:val="auto"/>
              </w:rPr>
            </w:pPr>
          </w:p>
        </w:tc>
        <w:tc>
          <w:tcPr>
            <w:tcW w:w="700" w:type="dxa"/>
            <w:vAlign w:val="bottom"/>
            <w:tcBorders>
              <w:top w:val="single" w:sz="8" w:color="auto"/>
            </w:tcBorders>
            <w:gridSpan w:val="2"/>
          </w:tcPr>
          <w:p>
            <w:pPr>
              <w:spacing w:after="0"/>
              <w:rPr>
                <w:sz w:val="24"/>
                <w:szCs w:val="24"/>
                <w:color w:val="auto"/>
              </w:rPr>
            </w:pPr>
          </w:p>
        </w:tc>
        <w:tc>
          <w:tcPr>
            <w:tcW w:w="4220" w:type="dxa"/>
            <w:vAlign w:val="bottom"/>
            <w:gridSpan w:val="5"/>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88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the Securities Exchange Act of 1934 Rule 13a-14(a) and 15d-14(a), as</w:t>
            </w:r>
          </w:p>
        </w:tc>
        <w:tc>
          <w:tcPr>
            <w:tcW w:w="42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the Securities Exchange Act of 1934 Rule 13a-14(a) and 15d-14(a), as</w:t>
            </w:r>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7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480" w:type="dxa"/>
            <w:vAlign w:val="bottom"/>
            <w:gridSpan w:val="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1350, as adopted pursuant to Section 906 of the Sarbanes-Oxley</w:t>
            </w:r>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1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1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40" w:type="dxa"/>
            <w:vAlign w:val="bottom"/>
          </w:tcPr>
          <w:p>
            <w:pPr>
              <w:spacing w:after="0"/>
              <w:rPr>
                <w:sz w:val="24"/>
                <w:szCs w:val="24"/>
                <w:color w:val="auto"/>
              </w:rPr>
            </w:pPr>
          </w:p>
        </w:tc>
        <w:tc>
          <w:tcPr>
            <w:tcW w:w="91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18 U.S.C. 1350, as adopted pursuant to Section 906 of the Sarbanes-Oxley</w:t>
            </w:r>
          </w:p>
        </w:tc>
        <w:tc>
          <w:tcPr>
            <w:tcW w:w="1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360" w:type="dxa"/>
            <w:vAlign w:val="bottom"/>
            <w:gridSpan w:val="9"/>
          </w:tcPr>
          <w:p>
            <w:pPr>
              <w:spacing w:after="0" w:line="20" w:lineRule="exact"/>
              <w:rPr>
                <w:sz w:val="1"/>
                <w:szCs w:val="1"/>
                <w:color w:val="auto"/>
              </w:rPr>
            </w:pPr>
          </w:p>
        </w:tc>
      </w:tr>
      <w:tr>
        <w:trPr>
          <w:trHeight w:val="3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 because its XBRL tags are</w:t>
            </w:r>
          </w:p>
        </w:tc>
      </w:tr>
      <w:tr>
        <w:trPr>
          <w:trHeight w:val="234"/>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 formatted in Inline XBRL and included in Exhibit 101</w:t>
            </w:r>
          </w:p>
        </w:tc>
      </w:tr>
    </w:tbl>
    <w:p>
      <w:pPr>
        <w:spacing w:after="0" w:line="225"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- 52 -</w:t>
      </w:r>
    </w:p>
    <w:p>
      <w:pPr>
        <w:sectPr>
          <w:pgSz w:w="11900" w:h="16838" w:orient="portrait"/>
          <w:cols w:equalWidth="0" w:num="1">
            <w:col w:w="11020"/>
          </w:cols>
          <w:pgMar w:left="320" w:top="482"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LATTICE SEMICONDUCTOR CORPORATION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Lorenzo 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Lorenzo A. Flores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0440"/>
          </w:cols>
          <w:pgMar w:left="320" w:top="482" w:right="11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Employment Agreement</w:t>
      </w:r>
    </w:p>
    <w:p>
      <w:pPr>
        <w:spacing w:after="0" w:line="225" w:lineRule="exact"/>
        <w:rPr>
          <w:sz w:val="20"/>
          <w:szCs w:val="20"/>
          <w:color w:val="auto"/>
        </w:rPr>
      </w:pPr>
    </w:p>
    <w:p>
      <w:pPr>
        <w:ind w:right="12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This Employment Agreement (the “Agreement”) is entered into by and between [Insert] (the “Executive”) and </w:t>
      </w:r>
      <w:r>
        <w:rPr>
          <w:rFonts w:ascii="Times New Roman" w:cs="Times New Roman" w:eastAsia="Times New Roman" w:hAnsi="Times New Roman"/>
          <w:sz w:val="18"/>
          <w:szCs w:val="18"/>
          <w:b w:val="1"/>
          <w:bCs w:val="1"/>
          <w:color w:val="auto"/>
        </w:rPr>
        <w:t>LATTICE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SEMICONDUCTOR CORPORATION</w:t>
      </w:r>
      <w:r>
        <w:rPr>
          <w:rFonts w:ascii="Times New Roman" w:cs="Times New Roman" w:eastAsia="Times New Roman" w:hAnsi="Times New Roman"/>
          <w:sz w:val="18"/>
          <w:szCs w:val="18"/>
          <w:color w:val="auto"/>
        </w:rPr>
        <w:t>, a Delaware corporation (the “Company”) as of [Insert] (the “Effective Date”).</w:t>
      </w:r>
    </w:p>
    <w:p>
      <w:pPr>
        <w:spacing w:after="0" w:line="47" w:lineRule="exact"/>
        <w:rPr>
          <w:sz w:val="20"/>
          <w:szCs w:val="20"/>
          <w:color w:val="auto"/>
        </w:rPr>
      </w:pPr>
    </w:p>
    <w:p>
      <w:pPr>
        <w:ind w:left="1160" w:hanging="173"/>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 and Scope of Employment</w:t>
      </w:r>
    </w:p>
    <w:p>
      <w:pPr>
        <w:spacing w:after="0" w:line="117" w:lineRule="exact"/>
        <w:rPr>
          <w:rFonts w:ascii="Times New Roman" w:cs="Times New Roman" w:eastAsia="Times New Roman" w:hAnsi="Times New Roman"/>
          <w:sz w:val="18"/>
          <w:szCs w:val="18"/>
          <w:color w:val="auto"/>
        </w:rPr>
      </w:pPr>
    </w:p>
    <w:p>
      <w:pPr>
        <w:ind w:firstLine="1428"/>
        <w:spacing w:after="0" w:line="262" w:lineRule="auto"/>
        <w:tabs>
          <w:tab w:leader="none" w:pos="16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For the term of Executive’s employment under this Agreement (“Employment”), the Executive will serve as the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[Insert] (“[SVP]”). The Executive shall report directly to the [Company’s Chief Executive Officer (the “CEO”)]. Executive will render such business and professional services in the performance of Executive’s duties, consistent with the Executive’s position within the Company, as will reasonably be assigned to him by the CEO.</w:t>
      </w:r>
    </w:p>
    <w:p>
      <w:pPr>
        <w:spacing w:after="0" w:line="68" w:lineRule="exact"/>
        <w:rPr>
          <w:rFonts w:ascii="Times New Roman" w:cs="Times New Roman" w:eastAsia="Times New Roman" w:hAnsi="Times New Roman"/>
          <w:sz w:val="18"/>
          <w:szCs w:val="18"/>
          <w:color w:val="auto"/>
        </w:rPr>
      </w:pPr>
    </w:p>
    <w:p>
      <w:pPr>
        <w:ind w:right="20" w:firstLine="1428"/>
        <w:spacing w:after="0" w:line="255" w:lineRule="auto"/>
        <w:tabs>
          <w:tab w:leader="none" w:pos="168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The Executive shall have such duties, authority and responsibilities that are commensurate with being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senior executive officer responsible for [insert area of responsibility]. During the term of Executive’s Employment, the Executive will devote Executive’s full business efforts and time to the Company. For the duration of Executive’s Employment, Executive agrees not to actively engage in any other employment, occupation, or consulting activity for any direct or indirect remuneration without the prior approval of the Company’s CEO and/or Audit Committee, as applicable; provided, however, that Executive may, without the approval of the CEO or Audit Committee, serve in any capacity with any civic, educational, or charitable organization, provided such services do not interfere with Executive’s obligations to the Company and do not create a conflict of interest. Executive shall comply at all times with the Company’s Code of Conduct and all other applicable Company policies. Executive shall perform Executive’s duties primarily at the Company’s corporate facility in [insert location].</w:t>
      </w:r>
    </w:p>
    <w:p>
      <w:pPr>
        <w:spacing w:after="0" w:line="76"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The Executive shall commence Executive’s full-time Employment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SVP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Agreement on the Effective</w:t>
      </w:r>
    </w:p>
    <w:p>
      <w:pPr>
        <w:spacing w:after="0" w:line="4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Date.</w:t>
      </w:r>
    </w:p>
    <w:p>
      <w:pPr>
        <w:spacing w:after="0" w:line="94" w:lineRule="exact"/>
        <w:rPr>
          <w:rFonts w:ascii="Times New Roman" w:cs="Times New Roman" w:eastAsia="Times New Roman" w:hAnsi="Times New Roman"/>
          <w:sz w:val="17"/>
          <w:szCs w:val="17"/>
          <w:color w:val="auto"/>
        </w:rPr>
      </w:pPr>
    </w:p>
    <w:p>
      <w:pPr>
        <w:ind w:left="1160" w:hanging="173"/>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Incentive Compensation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1428"/>
        <w:spacing w:after="0" w:line="259" w:lineRule="auto"/>
        <w:tabs>
          <w:tab w:leader="none" w:pos="16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18"/>
          <w:szCs w:val="18"/>
          <w:color w:val="auto"/>
        </w:rPr>
        <w:t>. As of the Effective Date the Company will pay Executive a base salary at a rate of [Insert] per year, which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from time to time as referenced below (such annual salary, as is then in effect, to be referred to herein as “Base Salary”). The Base Salary shall be periodically reviewed as a part of the Company’s regular review of compensation, and will be determined by the Compensation Committee of the Board (the “Committee”). The Base Salary will be paid in regular installments in accordance with the Company’s normal payroll practices (subject to applicable withholdings).</w:t>
      </w:r>
    </w:p>
    <w:p>
      <w:pPr>
        <w:spacing w:after="0" w:line="71" w:lineRule="exact"/>
        <w:rPr>
          <w:rFonts w:ascii="Times New Roman" w:cs="Times New Roman" w:eastAsia="Times New Roman" w:hAnsi="Times New Roman"/>
          <w:sz w:val="18"/>
          <w:szCs w:val="18"/>
          <w:color w:val="auto"/>
        </w:rPr>
      </w:pPr>
    </w:p>
    <w:p>
      <w:pPr>
        <w:jc w:val="both"/>
        <w:ind w:right="120" w:firstLine="1428"/>
        <w:spacing w:after="0" w:line="268" w:lineRule="auto"/>
        <w:tabs>
          <w:tab w:leader="none" w:pos="168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Incentive Bonuses</w:t>
      </w:r>
      <w:r>
        <w:rPr>
          <w:rFonts w:ascii="Times New Roman" w:cs="Times New Roman" w:eastAsia="Times New Roman" w:hAnsi="Times New Roman"/>
          <w:sz w:val="18"/>
          <w:szCs w:val="18"/>
          <w:color w:val="auto"/>
        </w:rPr>
        <w:t>. Executive will be eligible for an annual target bonus (the “Target Bonus”) equal to [Insert]% of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Salary as of the beginning of the applicable fiscal year or such higher figure that the Committee may select (the “Initial Target Amount”), subject to the terms and conditions of the Corporate Incentive Plan (“CIP”) in effect for each applicable fiscal year.</w:t>
      </w:r>
    </w:p>
    <w:p>
      <w:pPr>
        <w:sectPr>
          <w:pgSz w:w="11900" w:h="16838" w:orient="portrait"/>
          <w:cols w:equalWidth="0" w:num="1">
            <w:col w:w="11020"/>
          </w:cols>
          <w:pgMar w:left="440" w:top="117" w:right="439" w:bottom="1440" w:gutter="0" w:footer="0" w:header="0"/>
        </w:sectPr>
      </w:pPr>
    </w:p>
    <w:bookmarkStart w:id="62" w:name="page63"/>
    <w:bookmarkEnd w:id="62"/>
    <w:p>
      <w:pPr>
        <w:ind w:left="-1000" w:right="20" w:firstLine="1428"/>
        <w:spacing w:after="0" w:line="259" w:lineRule="auto"/>
        <w:tabs>
          <w:tab w:leader="none" w:pos="6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Company Compensatory Equity Awards</w:t>
      </w:r>
      <w:r>
        <w:rPr>
          <w:rFonts w:ascii="Times New Roman" w:cs="Times New Roman" w:eastAsia="Times New Roman" w:hAnsi="Times New Roman"/>
          <w:sz w:val="18"/>
          <w:szCs w:val="18"/>
          <w:color w:val="auto"/>
        </w:rPr>
        <w:t>. Executive shall be eligible for grants of options to purchase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common stock, restricted stock units, performance shares or other Company equity, pursuant to an applicable stockholder approved equity compensation plan or non-stockholder approved inducement plan for new hires (the “Plan”) at times and in such amounts as determined by the Committee (any prior or future compensatory equity grants to Executive shall be collectively referred to herein as “Compensatory Equity”). Initially, the Company will propose to the Board that the Executive be granted, which grants shall be made on the Effective Date:</w:t>
      </w:r>
    </w:p>
    <w:p>
      <w:pPr>
        <w:spacing w:after="0" w:line="75" w:lineRule="exact"/>
        <w:rPr>
          <w:rFonts w:ascii="Times New Roman" w:cs="Times New Roman" w:eastAsia="Times New Roman" w:hAnsi="Times New Roman"/>
          <w:sz w:val="18"/>
          <w:szCs w:val="18"/>
          <w:color w:val="auto"/>
        </w:rPr>
      </w:pPr>
    </w:p>
    <w:p>
      <w:pPr>
        <w:ind w:left="-1000" w:right="160" w:firstLine="1979"/>
        <w:spacing w:after="0" w:line="256" w:lineRule="auto"/>
        <w:tabs>
          <w:tab w:leader="none" w:pos="11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with respect to shares of the Company’s common stock with a grant date fair value equal to [Insert], with the type of award to be restricted stock units, to be granted as of the Effective Date. With respect to the award of restricted stock units, the number of units granted will be equal to [Insert] divided by the average closing price of the Company’s common stock on NASDAQ over the 30-calendar day period ending on the Effective Date (the “Average Price”). This grant will be subject to the terms and conditions of the Plan or inducement shares and the applicable equity grant agreement, and will vest and become exercisable or payable at a rate of 25% of the shares on the first anniversary of the Effective Date and 6.25% quarterly thereafter.</w:t>
      </w:r>
    </w:p>
    <w:p>
      <w:pPr>
        <w:spacing w:after="0" w:line="79" w:lineRule="exact"/>
        <w:rPr>
          <w:rFonts w:ascii="Times New Roman" w:cs="Times New Roman" w:eastAsia="Times New Roman" w:hAnsi="Times New Roman"/>
          <w:sz w:val="18"/>
          <w:szCs w:val="18"/>
          <w:color w:val="auto"/>
        </w:rPr>
      </w:pPr>
    </w:p>
    <w:p>
      <w:pPr>
        <w:ind w:left="-1000" w:firstLine="1979"/>
        <w:spacing w:after="0" w:line="254" w:lineRule="auto"/>
        <w:tabs>
          <w:tab w:leader="none" w:pos="12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of performance share restricted stock units with a grant date fair value equal to [Insert], to be granted as of the Effective Date. The values of the units to be granted will be determined as of the Effective Date using the Company’s standard valuation model. With respect to the award of restricted stock units, the number of units granted will be equal to [Insert] divided by the average closing price of the Company’s common stock on NASDAQ over the 30-calendar day period ending on the Effective Date (the “Average Price”). This grants will be subject to the terms and conditions of the Plan and the applicable Compensatory Equity agreement, and will vest and become payable over a three year period based upon the total shareholder return (TSR) of the Company relative to the Russell 3000 Index, with 100% of the units vesting at the 55th percentile and a multiplier to 200% of the units vesting at 75th percentile achievement, zero vesting if relative TSR is below the 25th percentile, and vesting scaling based on linear interpolation for achievement between the 25th, 55th and 75th percentile. One third of the restricted stock units granted under this Section 2(c) (ii) shall be tested for vesting on each anniversary from the date of grant.</w:t>
      </w:r>
    </w:p>
    <w:p>
      <w:pPr>
        <w:spacing w:after="0" w:line="80" w:lineRule="exact"/>
        <w:rPr>
          <w:rFonts w:ascii="Times New Roman" w:cs="Times New Roman" w:eastAsia="Times New Roman" w:hAnsi="Times New Roman"/>
          <w:sz w:val="18"/>
          <w:szCs w:val="18"/>
          <w:color w:val="auto"/>
        </w:rPr>
      </w:pPr>
    </w:p>
    <w:p>
      <w:pPr>
        <w:ind w:left="-1000" w:right="20" w:firstLine="1979"/>
        <w:spacing w:after="0" w:line="261" w:lineRule="auto"/>
        <w:tabs>
          <w:tab w:leader="none" w:pos="1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grants of Compensatory Equity (and the issuance of any underlying shares) to Executive shall be: (a) issued pursuant to the Plan or rules applicable to inducement equity grants and (b) issued pursuant to an effective registration statement filed with the Securities and Exchange Commission under the Securities Act of 1933 as amended. Accelerated vesting of Compensatory Equity may occur: (x) pursuant to the terms of this Agreement and in addition (y) pursuant to the terms of the Plan and any applicable Compensatory Equity agreement.</w:t>
      </w:r>
    </w:p>
    <w:p>
      <w:pPr>
        <w:spacing w:after="0" w:line="71" w:lineRule="exact"/>
        <w:rPr>
          <w:rFonts w:ascii="Times New Roman" w:cs="Times New Roman" w:eastAsia="Times New Roman" w:hAnsi="Times New Roman"/>
          <w:sz w:val="18"/>
          <w:szCs w:val="18"/>
          <w:color w:val="auto"/>
        </w:rPr>
      </w:pPr>
    </w:p>
    <w:p>
      <w:pPr>
        <w:ind w:left="-1000" w:right="20" w:firstLine="1979"/>
        <w:spacing w:after="0" w:line="261"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may elect to establish a trading plan in accordance with Rule 10b5-1 of the Securities Exchange Act of 1934 for any of his Compensatory Equity shares, provided, however, that such trading plan must comply with all of the requirements for the safe harbor under Rule 10b5-1, must be approved in accordance with any Rule 10b5-1 Trading Plan Policy of the Company and comply with the Company’s Insider Trading Policy and related policies in place from time to time.</w:t>
      </w:r>
    </w:p>
    <w:p>
      <w:pPr>
        <w:sectPr>
          <w:pgSz w:w="11900" w:h="16838" w:orient="portrait"/>
          <w:cols w:equalWidth="0" w:num="1">
            <w:col w:w="10000"/>
          </w:cols>
          <w:pgMar w:left="1440" w:top="266" w:right="459" w:bottom="1440" w:gutter="0" w:footer="0" w:header="0"/>
        </w:sectPr>
      </w:pPr>
    </w:p>
    <w:bookmarkStart w:id="63" w:name="page64"/>
    <w:bookmarkEnd w:id="63"/>
    <w:p>
      <w:pPr>
        <w:ind w:left="-987" w:firstLine="1979"/>
        <w:spacing w:after="0" w:line="253" w:lineRule="auto"/>
        <w:tabs>
          <w:tab w:leader="none" w:pos="125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Change in Control, as hereafter defined, Executive’s entitlement to vesting under all awards of Compensatory Equity that vest based on performance shall vest based on the terms of such awards; provided, however, if no treatment has been set forth in such award then for purposes of determining performance under any relative TSR awards outstanding on or granted after the Effective Date, the ending average stock price will be determined as the price per share paid for the Company’s stock in the Change in Control and the peer group ending average stock price will be determined based on the average closing stock prices for the component members of the peer group for the 30-trading days ending prior to the date of the Change in Control. For purposes of any tranche where the determination period has not commenced as of the date of the public announcement of the proposed Change in Control, the Company stock price for the initial date of such determination period shall be deemed to be the price of the Company’s stock as of the date of the original performance grant. This calculation will be applied to any tranches of the relative TSR awards that were eligible to vest for measurement periods ending on or after the date of the Change in Control and those tranches be converted to restricted stock units and will vest on the originally scheduled measurement dates, subject to Executive remaining a service provider to the Company or its successor through such dates and such awards being afforded the same protection under this Agreement as Compensatory Equity that vests solely based on Service.</w:t>
      </w:r>
    </w:p>
    <w:p>
      <w:pPr>
        <w:spacing w:after="0" w:line="77" w:lineRule="exact"/>
        <w:rPr>
          <w:rFonts w:ascii="Times New Roman" w:cs="Times New Roman" w:eastAsia="Times New Roman" w:hAnsi="Times New Roman"/>
          <w:sz w:val="18"/>
          <w:szCs w:val="18"/>
          <w:color w:val="auto"/>
        </w:rPr>
      </w:pPr>
    </w:p>
    <w:p>
      <w:pPr>
        <w:ind w:left="-987" w:right="100" w:firstLine="1428"/>
        <w:spacing w:after="0" w:line="268" w:lineRule="auto"/>
        <w:tabs>
          <w:tab w:leader="none" w:pos="6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Definition</w:t>
      </w:r>
      <w:r>
        <w:rPr>
          <w:rFonts w:ascii="Times New Roman" w:cs="Times New Roman" w:eastAsia="Times New Roman" w:hAnsi="Times New Roman"/>
          <w:sz w:val="18"/>
          <w:szCs w:val="18"/>
          <w:color w:val="auto"/>
        </w:rPr>
        <w:t>. For purposes of this Agreement and Executive’s Compensatory Equity, “Service” shall mean service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as an employee and/or consultant of the Company (or any subsidiary or parent or affiliated entity of the Company) and/or service by the Executive as a member of the Board.</w:t>
      </w:r>
    </w:p>
    <w:p>
      <w:pPr>
        <w:spacing w:after="0" w:line="62" w:lineRule="exact"/>
        <w:rPr>
          <w:rFonts w:ascii="Times New Roman" w:cs="Times New Roman" w:eastAsia="Times New Roman" w:hAnsi="Times New Roman"/>
          <w:sz w:val="18"/>
          <w:szCs w:val="18"/>
          <w:color w:val="auto"/>
        </w:rPr>
      </w:pPr>
    </w:p>
    <w:p>
      <w:pPr>
        <w:ind w:left="-987" w:right="20" w:firstLine="987"/>
        <w:spacing w:after="0" w:line="259"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Paid Time Off and Employee Benefits</w:t>
      </w:r>
      <w:r>
        <w:rPr>
          <w:rFonts w:ascii="Times New Roman" w:cs="Times New Roman" w:eastAsia="Times New Roman" w:hAnsi="Times New Roman"/>
          <w:sz w:val="18"/>
          <w:szCs w:val="18"/>
          <w:color w:val="auto"/>
        </w:rPr>
        <w:t>. During the term of Executive’s Employment, the Executive shall be entitled to paid time off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Company’s standard Paid Time Off Policy. During the term of Executive’s Employment, the Executive shall be eligible to participate in any employee benefit plans or arrangements maintained by the Company on no less favorable terms than for other Company executives, subject in each case to the generally applicable terms and conditions of the plan or arrangement in question and to the determinations of any person or committee administering such plan or arrangement.</w:t>
      </w:r>
    </w:p>
    <w:p>
      <w:pPr>
        <w:spacing w:after="0" w:line="71" w:lineRule="exact"/>
        <w:rPr>
          <w:rFonts w:ascii="Times New Roman" w:cs="Times New Roman" w:eastAsia="Times New Roman" w:hAnsi="Times New Roman"/>
          <w:sz w:val="18"/>
          <w:szCs w:val="18"/>
          <w:color w:val="auto"/>
        </w:rPr>
      </w:pPr>
    </w:p>
    <w:p>
      <w:pPr>
        <w:ind w:left="-987" w:right="40" w:firstLine="987"/>
        <w:spacing w:after="0" w:line="259"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Expenses</w:t>
      </w:r>
      <w:r>
        <w:rPr>
          <w:rFonts w:ascii="Times New Roman" w:cs="Times New Roman" w:eastAsia="Times New Roman" w:hAnsi="Times New Roman"/>
          <w:sz w:val="18"/>
          <w:szCs w:val="18"/>
          <w:color w:val="auto"/>
        </w:rPr>
        <w:t>. During the term of Executive’s Employment, the Executive shall be authorized to incur necessary and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travel, entertainment and other business expenses in connection with Executive’s duties hereunder. The Company shall promptly reimburse the Executive for such expenses upon presentation of appropriate supporting documentation, all in accordance with the Company’s generally applicable policies. All such payments shall be made by the end of Executive’s next tax year. The amount eligible for reimbursement in one year will not affect the amount eligible for reimbursement in any other year, and the right to reimbursement is not subject to liquidation or exchange for another benefit.</w:t>
      </w:r>
    </w:p>
    <w:p>
      <w:pPr>
        <w:sectPr>
          <w:pgSz w:w="11900" w:h="16838" w:orient="portrait"/>
          <w:cols w:equalWidth="0" w:num="1">
            <w:col w:w="9993"/>
          </w:cols>
          <w:pgMar w:left="1427" w:top="270" w:right="479" w:bottom="1440" w:gutter="0" w:footer="0" w:header="0"/>
        </w:sectPr>
      </w:pPr>
    </w:p>
    <w:bookmarkStart w:id="64" w:name="page65"/>
    <w:bookmarkEnd w:id="64"/>
    <w:p>
      <w:pPr>
        <w:ind w:right="40" w:firstLine="987"/>
        <w:spacing w:after="0" w:line="259" w:lineRule="auto"/>
        <w:tabs>
          <w:tab w:leader="none" w:pos="11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At-Will Employment. </w:t>
      </w:r>
      <w:r>
        <w:rPr>
          <w:rFonts w:ascii="Times New Roman" w:cs="Times New Roman" w:eastAsia="Times New Roman" w:hAnsi="Times New Roman"/>
          <w:sz w:val="18"/>
          <w:szCs w:val="18"/>
          <w:color w:val="auto"/>
        </w:rPr>
        <w:t>Executive’s employment with the Company will be “at-will” employment and, as such, may be terminated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or the Company at any time with or without cause or notice, for any reason or no reason. Any contrary representations are superseded by this Agreement. This is the full and complete agreement between Executive and the Company on this term. Although Executive’s compensation and benefits, as well as the Company’s personnel policies and procedures, may change from time to time, the “at will” nature of Executive’s employment may only be changed in an express written agreement signed by Executive and a duly authorized officer of the Company (other than Executive).</w:t>
      </w:r>
    </w:p>
    <w:p>
      <w:pPr>
        <w:spacing w:after="0" w:line="71" w:lineRule="exact"/>
        <w:rPr>
          <w:rFonts w:ascii="Times New Roman" w:cs="Times New Roman" w:eastAsia="Times New Roman" w:hAnsi="Times New Roman"/>
          <w:sz w:val="18"/>
          <w:szCs w:val="18"/>
          <w:color w:val="auto"/>
        </w:rPr>
      </w:pPr>
    </w:p>
    <w:p>
      <w:pPr>
        <w:ind w:right="180" w:firstLine="1428"/>
        <w:spacing w:after="0" w:line="268" w:lineRule="auto"/>
        <w:tabs>
          <w:tab w:leader="none" w:pos="16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Upon Any Termination</w:t>
      </w:r>
      <w:r>
        <w:rPr>
          <w:rFonts w:ascii="Times New Roman" w:cs="Times New Roman" w:eastAsia="Times New Roman" w:hAnsi="Times New Roman"/>
          <w:sz w:val="18"/>
          <w:szCs w:val="18"/>
          <w:color w:val="auto"/>
        </w:rPr>
        <w:t>. Upon termination of Executive’s Employment for any reason, the Executive shall receive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payments on the effective date of the termination (the “Termination Date”): (i) all unpaid salary through the Termination Date, (ii) any unreimbursed business expenses and (iii) any other unpaid amounts required to be paid by applicable law.</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Termination Benefits</w:t>
      </w:r>
      <w:r>
        <w:rPr>
          <w:rFonts w:ascii="Times New Roman" w:cs="Times New Roman" w:eastAsia="Times New Roman" w:hAnsi="Times New Roman"/>
          <w:sz w:val="18"/>
          <w:szCs w:val="18"/>
          <w:color w:val="auto"/>
        </w:rPr>
        <w:t>. If there is an Involuntary Termination (as defined below) of Executive’s Employment, then, subject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Requirements set forth in Section 8(a) of this Agreement, Executive shall receive the following benefits:</w:t>
      </w:r>
    </w:p>
    <w:p>
      <w:pPr>
        <w:spacing w:after="0" w:line="95" w:lineRule="exact"/>
        <w:rPr>
          <w:sz w:val="20"/>
          <w:szCs w:val="20"/>
          <w:color w:val="auto"/>
        </w:rPr>
      </w:pPr>
    </w:p>
    <w:p>
      <w:pPr>
        <w:ind w:firstLine="1428"/>
        <w:spacing w:after="0" w:line="268" w:lineRule="auto"/>
        <w:tabs>
          <w:tab w:leader="none" w:pos="16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Severance Pay</w:t>
      </w:r>
      <w:r>
        <w:rPr>
          <w:rFonts w:ascii="Times New Roman" w:cs="Times New Roman" w:eastAsia="Times New Roman" w:hAnsi="Times New Roman"/>
          <w:sz w:val="18"/>
          <w:szCs w:val="18"/>
          <w:color w:val="auto"/>
        </w:rPr>
        <w:t>. The Company shall pay the Executive an amount equal to 1.0 times Executive’s then Base Salary, plus 1.0 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then Target Amount (collectively in the aggregate, the “Cash Severance”). Such Cash Severance shall be made in a single lump sum cash payment to Executive within ten (10) days following the effective date of the Release.</w:t>
      </w:r>
    </w:p>
    <w:p>
      <w:pPr>
        <w:spacing w:after="0" w:line="62" w:lineRule="exact"/>
        <w:rPr>
          <w:rFonts w:ascii="Times New Roman" w:cs="Times New Roman" w:eastAsia="Times New Roman" w:hAnsi="Times New Roman"/>
          <w:sz w:val="18"/>
          <w:szCs w:val="18"/>
          <w:color w:val="auto"/>
        </w:rPr>
      </w:pPr>
    </w:p>
    <w:p>
      <w:pPr>
        <w:ind w:right="40" w:firstLine="1428"/>
        <w:spacing w:after="0" w:line="271" w:lineRule="auto"/>
        <w:tabs>
          <w:tab w:leader="none" w:pos="168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Health Insurance</w:t>
      </w:r>
      <w:r>
        <w:rPr>
          <w:rFonts w:ascii="Times New Roman" w:cs="Times New Roman" w:eastAsia="Times New Roman" w:hAnsi="Times New Roman"/>
          <w:sz w:val="17"/>
          <w:szCs w:val="17"/>
          <w:color w:val="auto"/>
        </w:rPr>
        <w:t>. Subject to applicable law, and if Executive properly and timely elects to continue coverage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group health plan pursuant to Section 4980B(f) of the Internal Revenue Code of 1986, as amended (“COBRA”) for Executive and any eligible dependents who are covered under the Company’s group health plans at the time of Executive’s termination of Employment, then the Company shall directly to the Company’s group health plan carrier pay Executive’s monthly premium under COBRA until the earliest of (i) twelve (12) months after the Termination Date, (ii) the date when Executive becomes eligible for substantially equivalent health insurance coverage in connection with new employment or self-employment, or (iii) the date Executive is no longer entitled to COBRA continuation coverage under the Company’s group health plan for any reason. Notwithstanding the foregoing, if the Company determines in its sole discretion that it is advisable for legal reasons, the Company may pay Executive a taxable cash payment equal to the amount that the Company would have otherwise paid for COBRA premiums (based on the premium for the first month of coverage), which payment will be made regardless of whether Executive or Executive’s eligible dependents elect COBRA continuation coverage and will be paid in a lump sum payment. Nothing herein is entitled to warranty or guarantee entitlement to COBRA.</w:t>
      </w:r>
    </w:p>
    <w:p>
      <w:pPr>
        <w:sectPr>
          <w:pgSz w:w="11900" w:h="16838" w:orient="portrait"/>
          <w:cols w:equalWidth="0" w:num="1">
            <w:col w:w="10960"/>
          </w:cols>
          <w:pgMar w:left="440" w:top="266" w:right="499" w:bottom="1440" w:gutter="0" w:footer="0" w:header="0"/>
        </w:sectPr>
      </w:pPr>
    </w:p>
    <w:bookmarkStart w:id="65" w:name="page66"/>
    <w:bookmarkEnd w:id="65"/>
    <w:p>
      <w:pPr>
        <w:ind w:left="4" w:right="20" w:firstLine="1428"/>
        <w:spacing w:after="0" w:line="252" w:lineRule="auto"/>
        <w:tabs>
          <w:tab w:leader="none" w:pos="16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Vesting</w:t>
      </w:r>
      <w:r>
        <w:rPr>
          <w:rFonts w:ascii="Times New Roman" w:cs="Times New Roman" w:eastAsia="Times New Roman" w:hAnsi="Times New Roman"/>
          <w:sz w:val="18"/>
          <w:szCs w:val="18"/>
          <w:color w:val="auto"/>
        </w:rPr>
        <w:t>. The Company will accelerate the vesting of all Service-Vesting Awards outstanding and unvested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Date that were scheduled under their terms to vest based solely on continued Service during the six-month period following the Date of Termination. “Service-Vesting Awards” means restricted stock units (“RSUs”) and restricted stock awards (“RSAs”) covering Company common stock (as applicable) that vest based solely on continued Service, including performance-based RSUs or performance-based RSAs for which the applicable performance goals were achieved prior to Termination Date, but excluding performance-based RSUs for which the applicable performance goals have not been satisfied as of the Termination Date. Other than the acceleration described in this section, all Compensatory Equity Arrangements will be governed by the terms of such Compensatory Equity Arrangements, provided that if the Involuntary Termination occurs on or after the Company’s execution of a definitive agreement for a transaction that, if consummated, would constitute a Change in Control (the “CIC Signing Date”) and prior to a Change in Control, the Compensatory Equity Awards will remain outstanding (including as to the then-unvested portion thereof), notwithstanding anything to the contrary in the applicable award agreement(s) (other than the expiration date of the award), for the minimum amount of time necessary following such Involuntary Termination (but not more than three (3) months) to permit acceleration upon a Change in Control occurring within three</w:t>
      </w:r>
    </w:p>
    <w:p>
      <w:pPr>
        <w:spacing w:after="0" w:line="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thereof.</w:t>
      </w:r>
    </w:p>
    <w:p>
      <w:pPr>
        <w:spacing w:after="0" w:line="94" w:lineRule="exact"/>
        <w:rPr>
          <w:rFonts w:ascii="Times New Roman" w:cs="Times New Roman" w:eastAsia="Times New Roman" w:hAnsi="Times New Roman"/>
          <w:sz w:val="18"/>
          <w:szCs w:val="18"/>
          <w:color w:val="auto"/>
        </w:rPr>
      </w:pPr>
    </w:p>
    <w:p>
      <w:pPr>
        <w:ind w:left="4" w:right="40" w:firstLine="1428"/>
        <w:spacing w:after="0" w:line="255" w:lineRule="auto"/>
        <w:tabs>
          <w:tab w:leader="none" w:pos="169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Change in Control</w:t>
      </w:r>
      <w:r>
        <w:rPr>
          <w:rFonts w:ascii="Times New Roman" w:cs="Times New Roman" w:eastAsia="Times New Roman" w:hAnsi="Times New Roman"/>
          <w:sz w:val="18"/>
          <w:szCs w:val="18"/>
          <w:color w:val="auto"/>
        </w:rPr>
        <w:t>. If the Company is subject to a Change in Control (as defined below) and if there is an Involuntary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Executive’s Employment during the period commencing on the later of (i) three (3) months prior to the Change in Control and (ii) the CIC Signing Date for such Change in Control and extending through the date that is 24 months after the Change in Control, then, subject to the Severance Requirements: (1) Executive shall immediately vest in (and the Company’s right to repurchase, if applicable, shall lapse immediately as to all of Executive’s Compensatory Equity that vests solely based on Service, including any Compensatory Equity after giving effect to Section 2(c)(v) above and (2) the duration of the subsidized COBRA coverage in Section 6(b) shall be for 12 months. In addition, Executive’s Compensatory Equity is subject to any additional vesting acceleration set forth in the Company’s Equity Protection Policy in place from time to time, to the extent applicable to Executive, provided there is no duplication of benefits.</w:t>
      </w:r>
    </w:p>
    <w:p>
      <w:pPr>
        <w:spacing w:after="0" w:line="76" w:lineRule="exact"/>
        <w:rPr>
          <w:rFonts w:ascii="Times New Roman" w:cs="Times New Roman" w:eastAsia="Times New Roman" w:hAnsi="Times New Roman"/>
          <w:sz w:val="18"/>
          <w:szCs w:val="18"/>
          <w:color w:val="auto"/>
        </w:rPr>
      </w:pPr>
    </w:p>
    <w:p>
      <w:pPr>
        <w:ind w:left="4" w:right="40" w:firstLine="1428"/>
        <w:spacing w:after="0" w:line="254" w:lineRule="auto"/>
        <w:tabs>
          <w:tab w:leader="none" w:pos="168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If any payment or benefit (including payments and benefits pursuant to this Agreement) that Executive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in connection with a Change in Control from the Company or other event that constitutes a change in ownership or control within the meaning of Section 280G of the Code and the regulations thereunder (in either case, a “280G Event” and any such payment or benefit, a “Transaction Payment”) would (i) constitute a “parachute payment” within the meaning of Section 280G of the Code, and (ii) but for this sentence, be subject to the excise tax imposed by Section 4999 of the Code (the “Excise Tax”), then the Company shall cause to be determined, before any amounts of the Transaction Payment are paid to Executive, which of the following two alternative forms of payment would result in Executive’s receipt, on an after-tax basis, of the greater amount of Transaction Payments notwithstanding that all or some portion of the Transaction Payment may be subject to the Excise Tax:</w:t>
      </w:r>
    </w:p>
    <w:p>
      <w:pPr>
        <w:ind w:left="4" w:hanging="4"/>
        <w:spacing w:after="0" w:line="253"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the entire amount of the Transaction Payments (a “Full Payment”), or (2) payment of only a portion of the Transaction Payments so that Executive receives the largest payment possible without the imposition of the Excise Tax (a “Reduced Payment”). For purposes of determining whether to make a Full Payment or a Reduced Payment, the Company shall cause to be taken into account all applicable federal, state, local and foreign income and employment taxes and the Excise Tax (all computed at the highest applicable marginal rate, net of the maximum reduction in federal income taxes which could be obtained from a deduction of such state and local</w:t>
      </w:r>
    </w:p>
    <w:p>
      <w:pPr>
        <w:sectPr>
          <w:pgSz w:w="11900" w:h="16838" w:orient="portrait"/>
          <w:cols w:equalWidth="0" w:num="1">
            <w:col w:w="11004"/>
          </w:cols>
          <w:pgMar w:left="436" w:top="266" w:right="459" w:bottom="1440" w:gutter="0" w:footer="0" w:header="0"/>
        </w:sectPr>
      </w:pPr>
    </w:p>
    <w:bookmarkStart w:id="66" w:name="page67"/>
    <w:bookmarkEnd w:id="66"/>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 If a Reduced Payment is made, (x) Executive shall have no rights to any additional payments and/or benefits constituting the forfeited portion of the Full Payment, and (y) reduction in payments and/or benefits will occur in the manner that results in the greatest economic benefit for Executive. If more than one method of reduction will result in the same economic benefit, the items so reduced will be reduced pro rata. Notwithstanding the foregoing, if such reduction would result in any portion of the Transaction Payments being subject to penalties pursuant to Section 409A of the Code that would not otherwise be subject to such penalties, then the reduction method shall be modified so as to avoid the imposition of penalties pursuant to Section 409A of the Code as follows: (A) Transaction Payments that are contingent on future events (e.g., being terminated without Cause), shall be reduced (or eliminated) before Transaction Payments that are not contingent on future events; and (B) Transaction Payments that are “deferred compensation” within the meaning of Section 409A of the Code shall be reduced (or eliminated) before Transaction Payments that are not deferred compensation within the meaning of Section 409A of the Code. In the event that acceleration of vesting of any equity compensation awards is to be reduced, such acceleration of vesting will be cancelled in the reverse order of the date of grant of Executive’s equity awards. In no event will the Company or any stockholder be liable to Executive for any amounts not paid as a result of the operation of this provision.</w:t>
      </w:r>
    </w:p>
    <w:p>
      <w:pPr>
        <w:spacing w:after="0" w:line="1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professional firm engaged by the Company for general tax purposes as of the day prior to the effective date of the 280G Event (or such other professional accounting or tax firm chosen by the Company) shall make all determinations required to be made under this section. If the professional firm so engaged by the Company is serving as accountant or auditor for the individual, entity or group effecting the 280G Event, the Company shall appoint an independent registered public accounting firm to make the determinations required hereunder. The Company shall bear all expenses with respect to the determinations by such professional firm required to be made hereunder.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professional firm engaged to make the determinations hereunder shall provide its calculations, together with detailed supporting documentation, to the Company and Executive within a reasonable period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Notwithstanding the foregoing, if the Company is privately held as of immediately prior to a Change in Control and it is deemed necessary by the Company to avoid any potential imposition of the adverse tax results provided for by Sections 280G and 4999 of the Code, then as a further condition to any payment or benefit provided for in this Agreement or otherwise, the Company may request Executive to consider in good faith submitting any payment or benefit provided for in this Agreement or from any other source that the Company reasonably determines may constitute an “excess parachute payment” (as defined in Section 280G(b)(1) of the Code) for approval by the Company’s stockholders prior to the closing of the Change in Control in the manner required by the terms of Section 280G(b)(5)(B) of the Code, so that no payments or benefits will be deemed to constitute a “parachute payment” subject to the excise taxes under Sections 280G and 4999 of the Code.</w:t>
      </w:r>
    </w:p>
    <w:p>
      <w:pPr>
        <w:sectPr>
          <w:pgSz w:w="11900" w:h="16838" w:orient="portrait"/>
          <w:cols w:equalWidth="0" w:num="1">
            <w:col w:w="10980"/>
          </w:cols>
          <w:pgMar w:left="440" w:top="270" w:right="479" w:bottom="1440" w:gutter="0" w:footer="0" w:header="0"/>
        </w:sectPr>
      </w:pPr>
    </w:p>
    <w:bookmarkStart w:id="67" w:name="page68"/>
    <w:bookmarkEnd w:id="67"/>
    <w:p>
      <w:pPr>
        <w:ind w:left="1664" w:hanging="232"/>
        <w:spacing w:after="0"/>
        <w:tabs>
          <w:tab w:leader="none" w:pos="1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Control Definition</w:t>
      </w:r>
      <w:r>
        <w:rPr>
          <w:rFonts w:ascii="Times New Roman" w:cs="Times New Roman" w:eastAsia="Times New Roman" w:hAnsi="Times New Roman"/>
          <w:sz w:val="18"/>
          <w:szCs w:val="18"/>
          <w:color w:val="auto"/>
        </w:rPr>
        <w:t>. For purposes of this Agreement, “Change in Control” shall mean the occurrence of any of the</w:t>
      </w:r>
    </w:p>
    <w:p>
      <w:pPr>
        <w:spacing w:after="0" w:line="31"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events: (i) 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more than 50% of the voting power of the outstanding securities of each of (A) the continuing or surviving entity and (B) any direct or indirect parent corporation of such continuing or surviving entity, (ii) the sale, transfer or other disposition of all or substantially all of the Company’s assets, or (iii) solely with respect to determining the treatment of Compensatory Equity under the terms of this Agreement, the terms of any applicable definition provided by the Plan and the applicable Compensatory Equity agreement.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81" w:lineRule="exact"/>
        <w:rPr>
          <w:rFonts w:ascii="Times New Roman" w:cs="Times New Roman" w:eastAsia="Times New Roman" w:hAnsi="Times New Roman"/>
          <w:sz w:val="18"/>
          <w:szCs w:val="18"/>
          <w:color w:val="auto"/>
        </w:rPr>
      </w:pPr>
    </w:p>
    <w:p>
      <w:pPr>
        <w:ind w:left="4" w:right="20" w:firstLine="1428"/>
        <w:spacing w:after="0" w:line="269" w:lineRule="auto"/>
        <w:tabs>
          <w:tab w:leader="none" w:pos="169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Cause Definition</w:t>
      </w:r>
      <w:r>
        <w:rPr>
          <w:rFonts w:ascii="Times New Roman" w:cs="Times New Roman" w:eastAsia="Times New Roman" w:hAnsi="Times New Roman"/>
          <w:sz w:val="17"/>
          <w:szCs w:val="17"/>
          <w:color w:val="auto"/>
        </w:rPr>
        <w:t>. For purposes of this Agreement, “Cause” shall mean (i) Executive’s material breach of this Agreement,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Proprietary Rights Agreement, any other agreement between Executive and the Company that is not corrected within a 30 day correction period that begins upon delivery to Executive of a written demand from the Company that describes the basis for the Company’s belief that Executive has materially breached any such agreement; (ii) any refusal to comply with the reasonable and lawful instructions of the Board; (iii) any willful act of fraud or dishonesty that causes material damage to the Company; (iv) any willful violation of the Company’s insider trading policy; (v) any willful violation of the Company’s conflict of interest policies; (vi) any willful unauthorized use or disclosure of trade secrets or other confidential information;</w:t>
      </w:r>
    </w:p>
    <w:p>
      <w:pPr>
        <w:spacing w:after="0" w:line="3" w:lineRule="exact"/>
        <w:rPr>
          <w:rFonts w:ascii="Times New Roman" w:cs="Times New Roman" w:eastAsia="Times New Roman" w:hAnsi="Times New Roman"/>
          <w:sz w:val="17"/>
          <w:szCs w:val="17"/>
          <w:color w:val="auto"/>
        </w:rPr>
      </w:pPr>
    </w:p>
    <w:p>
      <w:pPr>
        <w:ind w:left="4" w:right="60" w:hanging="4"/>
        <w:spacing w:after="0" w:line="260" w:lineRule="auto"/>
        <w:tabs>
          <w:tab w:leader="none" w:pos="3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breach of any fiduciary duty to the Company (viii) any material failure by Executive to comply with the Company’s policies, rules and standards of conduct, as they may be in effect from time to time or (ix) Executive’s conviction of, or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w:t>
      </w:r>
    </w:p>
    <w:p>
      <w:pPr>
        <w:spacing w:after="0" w:line="181"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The foregoing shall not be deemed an exclusive list of all acts or omissions that the Company may consider as grounds for the termination of Executive’s Employment, but it is an exclusive list of the acts or omissions that shall be considered “Cause” for entitlement to Severance Pay. Executive’s employment is at-will, as referenced above.</w:t>
      </w:r>
    </w:p>
    <w:p>
      <w:pPr>
        <w:spacing w:after="0" w:line="64" w:lineRule="exact"/>
        <w:rPr>
          <w:sz w:val="20"/>
          <w:szCs w:val="20"/>
          <w:color w:val="auto"/>
        </w:rPr>
      </w:pPr>
    </w:p>
    <w:p>
      <w:pPr>
        <w:ind w:left="4" w:right="60" w:firstLine="1428"/>
        <w:spacing w:after="0" w:line="257" w:lineRule="auto"/>
        <w:tabs>
          <w:tab w:leader="none" w:pos="16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Reason Definition</w:t>
      </w:r>
      <w:r>
        <w:rPr>
          <w:rFonts w:ascii="Times New Roman" w:cs="Times New Roman" w:eastAsia="Times New Roman" w:hAnsi="Times New Roman"/>
          <w:sz w:val="18"/>
          <w:szCs w:val="18"/>
          <w:color w:val="auto"/>
        </w:rPr>
        <w:t>. For all purposes under this Agreement, “Good Reason” shall mean the occurrence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without Executive’s express written consent: (i) a material diminution of Executive’s duties or responsibilities; (ii) a material diminution in Executive’s Base Salary or Target Amount; (iii) the Company’s material breach of this Agreement; or (iv) the Company requiring Executive to relocate Executive’s primary place of employment to a facility or location that increases Executive’s one-way commute by more than 30 miles from Executive’s principal place of employment as of the Effective Date; provided, however, that Executive will only have Good Reason if (i) they notify the Board in writing of the existence</w:t>
      </w:r>
    </w:p>
    <w:p>
      <w:pPr>
        <w:sectPr>
          <w:pgSz w:w="11900" w:h="16838" w:orient="portrait"/>
          <w:cols w:equalWidth="0" w:num="1">
            <w:col w:w="10984"/>
          </w:cols>
          <w:pgMar w:left="436" w:top="266" w:right="479" w:bottom="1440" w:gutter="0" w:footer="0" w:header="0"/>
        </w:sectPr>
      </w:pPr>
    </w:p>
    <w:bookmarkStart w:id="68" w:name="page69"/>
    <w:bookmarkEnd w:id="68"/>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condition which they believe constitutes Good Reason within ninety (90) days of the initial existence of such condition (which notice specifically identifies such condition), (ii) Company fails to remedy such condition within thirty (30) days after the date on which the Board receives such notice (the “Remedial Period”), and (iii) Executive’s resignation is effective within thirty (30) days after the expiration of the Remedial Period.</w:t>
      </w:r>
    </w:p>
    <w:p>
      <w:pPr>
        <w:spacing w:after="0" w:line="64" w:lineRule="exact"/>
        <w:rPr>
          <w:sz w:val="20"/>
          <w:szCs w:val="20"/>
          <w:color w:val="auto"/>
        </w:rPr>
      </w:pPr>
    </w:p>
    <w:p>
      <w:pPr>
        <w:ind w:left="4" w:right="160" w:firstLine="1428"/>
        <w:spacing w:after="0" w:line="263" w:lineRule="auto"/>
        <w:tabs>
          <w:tab w:leader="none" w:pos="165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Involuntary Termination Definition</w:t>
      </w:r>
      <w:r>
        <w:rPr>
          <w:rFonts w:ascii="Times New Roman" w:cs="Times New Roman" w:eastAsia="Times New Roman" w:hAnsi="Times New Roman"/>
          <w:sz w:val="18"/>
          <w:szCs w:val="18"/>
          <w:color w:val="auto"/>
        </w:rPr>
        <w:t>. For all purposes under this Agreement, “Involuntary Termination” shall mean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that occur without Executive’s prior written consent: (i) termination of Executive’s Employment by the Company without Cause, or</w:t>
      </w:r>
    </w:p>
    <w:p>
      <w:pPr>
        <w:ind w:left="4" w:right="660" w:hanging="4"/>
        <w:spacing w:after="0" w:line="260"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resignation of Employment for Good Reason. For the avoidance of doubt, termination of Executive’s Employment by reason of Executive’s death or disability shall not constitute an Involuntary Termination.</w:t>
      </w:r>
    </w:p>
    <w:p>
      <w:pPr>
        <w:spacing w:after="0" w:line="69"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0" w:firstLine="1428"/>
        <w:spacing w:after="0" w:line="262" w:lineRule="auto"/>
        <w:tabs>
          <w:tab w:leader="none" w:pos="1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Company’s Successors</w:t>
      </w:r>
      <w:r>
        <w:rPr>
          <w:rFonts w:ascii="Times New Roman" w:cs="Times New Roman" w:eastAsia="Times New Roman" w:hAnsi="Times New Roman"/>
          <w:sz w:val="18"/>
          <w:szCs w:val="18"/>
          <w:color w:val="auto"/>
        </w:rPr>
        <w:t>. This Agreement shall be binding upon any successor (whether direct or indirect and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68" w:lineRule="exact"/>
        <w:rPr>
          <w:rFonts w:ascii="Times New Roman" w:cs="Times New Roman" w:eastAsia="Times New Roman" w:hAnsi="Times New Roman"/>
          <w:sz w:val="18"/>
          <w:szCs w:val="18"/>
          <w:color w:val="auto"/>
        </w:rPr>
      </w:pPr>
    </w:p>
    <w:p>
      <w:pPr>
        <w:ind w:left="4" w:right="580" w:firstLine="1428"/>
        <w:spacing w:after="0" w:line="317" w:lineRule="auto"/>
        <w:tabs>
          <w:tab w:leader="none" w:pos="169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Executive’s Successors</w:t>
      </w:r>
      <w:r>
        <w:rPr>
          <w:rFonts w:ascii="Times New Roman" w:cs="Times New Roman" w:eastAsia="Times New Roman" w:hAnsi="Times New Roman"/>
          <w:sz w:val="17"/>
          <w:szCs w:val="17"/>
          <w:color w:val="auto"/>
        </w:rPr>
        <w:t>. This Agreement and all rights of the Executive hereunder shall inure to the benefit of, and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enforceable by, the Executive’s personal or legal representatives, executors, administrators, successors, heirs, distributees, devisees and legatees.</w:t>
      </w:r>
    </w:p>
    <w:p>
      <w:pPr>
        <w:spacing w:after="0" w:line="23" w:lineRule="exact"/>
        <w:rPr>
          <w:rFonts w:ascii="Times New Roman" w:cs="Times New Roman" w:eastAsia="Times New Roman" w:hAnsi="Times New Roman"/>
          <w:sz w:val="17"/>
          <w:szCs w:val="17"/>
          <w:color w:val="auto"/>
        </w:rPr>
      </w:pPr>
    </w:p>
    <w:p>
      <w:pPr>
        <w:ind w:left="1164" w:hanging="173"/>
        <w:spacing w:after="0"/>
        <w:tabs>
          <w:tab w:leader="none" w:pos="11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to Receipt of Severance; No Duty to Mitigate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 w:firstLine="1428"/>
        <w:spacing w:after="0" w:line="242" w:lineRule="auto"/>
        <w:tabs>
          <w:tab w:leader="none" w:pos="1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Receipt of Severance . The receipt of any severance benefits pursuant to Section 6 will be subject to (i) Executive’s continued compliance with Executive’s obligations under this Agreement and the Proprietary Rights Agreement,(ii) Executive signing and not revoking a separation agreement and general release in favor of the Company on a form provided by the Company (the “Release”) and such release becoming effective and (iii) Executive resigning from all positions Executive holds with the Company and any of its subsidiaries or affiliated entities at such time (together the conditions in (i), (ii) and (iii), the “Severance Requirements”) . No severance benefits will be paid or provided until the Release becomes effective. The Release must in all cases be effective by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Executive’s termination of Employment (or such earlier date as is provided in the Release) or no severance benefits will be paid or provided under this Agreement. Notwithstanding anything herein to the contrary if the maximum period during which Executive can consider and revoke the Release begins in one calendar year and ends in the subsequent calendar year, payment and provision of severance benefits under this Agreement shall not be made or commence to be made until the later of the effective date of the Release and the first business day of the subsequent calendar year, regardless of when the release becomes effective.</w:t>
      </w:r>
    </w:p>
    <w:p>
      <w:pPr>
        <w:spacing w:after="0" w:line="84" w:lineRule="exact"/>
        <w:rPr>
          <w:sz w:val="20"/>
          <w:szCs w:val="20"/>
          <w:color w:val="auto"/>
        </w:rPr>
      </w:pPr>
    </w:p>
    <w:p>
      <w:pPr>
        <w:ind w:left="4" w:right="320" w:firstLine="1428"/>
        <w:spacing w:after="0" w:line="286" w:lineRule="auto"/>
        <w:tabs>
          <w:tab w:leader="none" w:pos="16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Duty to Mitigate</w:t>
      </w:r>
      <w:r>
        <w:rPr>
          <w:rFonts w:ascii="Times New Roman" w:cs="Times New Roman" w:eastAsia="Times New Roman" w:hAnsi="Times New Roman"/>
          <w:sz w:val="18"/>
          <w:szCs w:val="18"/>
          <w:color w:val="auto"/>
        </w:rPr>
        <w:t>. No payments or benefits provided to Executive (except as expressly provided in Section 6(b))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mitigation or offset.</w:t>
      </w:r>
    </w:p>
    <w:p>
      <w:pPr>
        <w:sectPr>
          <w:pgSz w:w="11900" w:h="16838" w:orient="portrait"/>
          <w:cols w:equalWidth="0" w:num="1">
            <w:col w:w="10984"/>
          </w:cols>
          <w:pgMar w:left="436" w:top="270" w:right="479" w:bottom="1440" w:gutter="0" w:footer="0" w:header="0"/>
        </w:sectPr>
      </w:pPr>
    </w:p>
    <w:bookmarkStart w:id="69" w:name="page70"/>
    <w:bookmarkEnd w:id="69"/>
    <w:p>
      <w:pPr>
        <w:ind w:left="-987" w:right="80" w:firstLine="987"/>
        <w:spacing w:after="0" w:line="262" w:lineRule="auto"/>
        <w:tabs>
          <w:tab w:leader="none" w:pos="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Confidential Information and Other Company Policies. </w:t>
      </w:r>
      <w:r>
        <w:rPr>
          <w:rFonts w:ascii="Times New Roman" w:cs="Times New Roman" w:eastAsia="Times New Roman" w:hAnsi="Times New Roman"/>
          <w:sz w:val="18"/>
          <w:szCs w:val="18"/>
          <w:color w:val="auto"/>
        </w:rPr>
        <w:t>Executive acknowledges and agrees that, as a condition of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will enter into and be bound by and comply fully with the Company’s [Employee Invention Assignment and Confidentiality Agreement] (the “Proprietary Rights Agreement”). Executive will also be required to comply with the Company’s rules, standards, and policies, including, without limitation, its insider trading policy and code of conduct.</w:t>
      </w:r>
    </w:p>
    <w:p>
      <w:pPr>
        <w:spacing w:after="0" w:line="176" w:lineRule="exact"/>
        <w:rPr>
          <w:rFonts w:ascii="Times New Roman" w:cs="Times New Roman" w:eastAsia="Times New Roman" w:hAnsi="Times New Roman"/>
          <w:sz w:val="18"/>
          <w:szCs w:val="18"/>
          <w:color w:val="auto"/>
        </w:rPr>
      </w:pPr>
    </w:p>
    <w:p>
      <w:pPr>
        <w:ind w:left="-987" w:right="80" w:firstLine="987"/>
        <w:spacing w:after="0" w:line="278" w:lineRule="auto"/>
        <w:tabs>
          <w:tab w:leader="none" w:pos="27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Compensation Recoupment. </w:t>
      </w:r>
      <w:r>
        <w:rPr>
          <w:rFonts w:ascii="Times New Roman" w:cs="Times New Roman" w:eastAsia="Times New Roman" w:hAnsi="Times New Roman"/>
          <w:sz w:val="17"/>
          <w:szCs w:val="17"/>
          <w:color w:val="auto"/>
        </w:rPr>
        <w:t>All amounts payable to Executive hereunder shall be subject to recoupment pursuant to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current compensation clawback or recoupment policy (if any) and any additional compensation clawback or recoupment policy or amendments to the current policy adopted by the Board or as required by law during the term of Executive’s employment with the Company. No recovery of compensation under such a clawback or recoupment policy will be an event giving rise to a right to resign for “Good Reason” or constitute a termination without “Cause” under this Agreement, provided that such recovery is consistent with such policy and such policy is consistent with this Section 10.</w:t>
      </w:r>
    </w:p>
    <w:p>
      <w:pPr>
        <w:spacing w:after="0" w:line="163" w:lineRule="exact"/>
        <w:rPr>
          <w:rFonts w:ascii="Times New Roman" w:cs="Times New Roman" w:eastAsia="Times New Roman" w:hAnsi="Times New Roman"/>
          <w:sz w:val="17"/>
          <w:szCs w:val="17"/>
          <w:color w:val="auto"/>
        </w:rPr>
      </w:pPr>
    </w:p>
    <w:p>
      <w:pPr>
        <w:ind w:left="273" w:hanging="273"/>
        <w:spacing w:after="0"/>
        <w:tabs>
          <w:tab w:leader="none" w:pos="2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7" w:right="100" w:firstLine="1428"/>
        <w:spacing w:after="0" w:line="291" w:lineRule="auto"/>
        <w:tabs>
          <w:tab w:leader="none" w:pos="68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Indemnification</w:t>
      </w:r>
      <w:r>
        <w:rPr>
          <w:rFonts w:ascii="Times New Roman" w:cs="Times New Roman" w:eastAsia="Times New Roman" w:hAnsi="Times New Roman"/>
          <w:sz w:val="17"/>
          <w:szCs w:val="17"/>
          <w:color w:val="auto"/>
        </w:rPr>
        <w:t>. The Company shall indemnify Executive to the maximum extent permitted by any applicable indemnification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applicable law and the Company’s bylaws with respect to Executive’s Service (including timely advancing and/or reimbursing costs as incurred by Executive) and the Executive shall also be covered under a directors and officers liability insurance policy(ies) paid for by the Company.</w:t>
      </w:r>
    </w:p>
    <w:p>
      <w:pPr>
        <w:spacing w:after="0" w:line="152" w:lineRule="exact"/>
        <w:rPr>
          <w:rFonts w:ascii="Times New Roman" w:cs="Times New Roman" w:eastAsia="Times New Roman" w:hAnsi="Times New Roman"/>
          <w:sz w:val="17"/>
          <w:szCs w:val="17"/>
          <w:color w:val="auto"/>
        </w:rPr>
      </w:pPr>
    </w:p>
    <w:p>
      <w:pPr>
        <w:ind w:left="-987" w:firstLine="1428"/>
        <w:spacing w:after="0" w:line="259" w:lineRule="auto"/>
        <w:tabs>
          <w:tab w:leader="none" w:pos="6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All notices and other communications required or permitted under the Agreement must be in writing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(i) upon actual delivery to the party to be notified, (ii) 24 hours after confirmed facsimile transmission, (iii) 1 business day after deposit with a recognized overnight courier or (iv) 3 business days after deposit with the U.S. Postal Service by first class certified or registered mail, return receipt requested, postage prepaid, addressed (A) if to the Executive, at the address the Executive shall have most recently furnished to the Company in writing, (B) if to the Company, at its corporate headquarters and directed to the attention of its General Counsel.</w:t>
      </w:r>
    </w:p>
    <w:p>
      <w:pPr>
        <w:spacing w:after="0" w:line="179" w:lineRule="exact"/>
        <w:rPr>
          <w:rFonts w:ascii="Times New Roman" w:cs="Times New Roman" w:eastAsia="Times New Roman" w:hAnsi="Times New Roman"/>
          <w:sz w:val="18"/>
          <w:szCs w:val="18"/>
          <w:color w:val="auto"/>
        </w:rPr>
      </w:pPr>
    </w:p>
    <w:p>
      <w:pPr>
        <w:jc w:val="both"/>
        <w:ind w:left="-987" w:right="340" w:firstLine="1428"/>
        <w:spacing w:after="0" w:line="262" w:lineRule="auto"/>
        <w:tabs>
          <w:tab w:leader="none" w:pos="6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Any controversy relating to Executive’s employment, including, without limitation, any dispute or controversy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arising out of or relating to any interpretation, construction, performance or breach of this Agreement, or the Proprietary Rights Agreement, shall be subject to binding arbitration, pursuant to the terms and conditions of the Arbitration Agreement set forth as Exhibit A to this Agreement, which Executive agrees to enter into as a condition of this Agreement.</w:t>
      </w:r>
    </w:p>
    <w:p>
      <w:pPr>
        <w:spacing w:after="0" w:line="176" w:lineRule="exact"/>
        <w:rPr>
          <w:rFonts w:ascii="Times New Roman" w:cs="Times New Roman" w:eastAsia="Times New Roman" w:hAnsi="Times New Roman"/>
          <w:sz w:val="18"/>
          <w:szCs w:val="18"/>
          <w:color w:val="auto"/>
        </w:rPr>
      </w:pPr>
    </w:p>
    <w:p>
      <w:pPr>
        <w:ind w:left="-987" w:right="180" w:firstLine="1428"/>
        <w:spacing w:after="0" w:line="262" w:lineRule="auto"/>
        <w:tabs>
          <w:tab w:leader="none" w:pos="6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ectPr>
          <w:pgSz w:w="11900" w:h="16838" w:orient="portrait"/>
          <w:cols w:equalWidth="0" w:num="1">
            <w:col w:w="10013"/>
          </w:cols>
          <w:pgMar w:left="1427" w:top="266" w:right="459" w:bottom="1440" w:gutter="0" w:footer="0" w:header="0"/>
        </w:sectPr>
      </w:pPr>
    </w:p>
    <w:bookmarkStart w:id="70" w:name="page71"/>
    <w:bookmarkEnd w:id="70"/>
    <w:p>
      <w:pPr>
        <w:ind w:left="-1000" w:firstLine="1428"/>
        <w:spacing w:after="0" w:line="259" w:lineRule="auto"/>
        <w:tabs>
          <w:tab w:leader="none" w:pos="6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Whole Agreement</w:t>
      </w:r>
      <w:r>
        <w:rPr>
          <w:rFonts w:ascii="Times New Roman" w:cs="Times New Roman" w:eastAsia="Times New Roman" w:hAnsi="Times New Roman"/>
          <w:sz w:val="18"/>
          <w:szCs w:val="18"/>
          <w:color w:val="auto"/>
        </w:rPr>
        <w:t>. This Agreement contains the entire understanding of the parties with respect to the subject matter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any other agreements, representations or understandings (whether oral or written and whether express or implied) with respect to the subject matter hereof. For the avoidance of doubt, Executive will also be bound by the terms and conditions of the Proprietary Rights Agreement. In the event of any conflict in terms between this Agreement and/or the Plan and/or any agreement executed by and between Executive and the Company, the terms of this Agreement shall prevail and govern.</w:t>
      </w:r>
    </w:p>
    <w:p>
      <w:pPr>
        <w:spacing w:after="0" w:line="179" w:lineRule="exact"/>
        <w:rPr>
          <w:rFonts w:ascii="Times New Roman" w:cs="Times New Roman" w:eastAsia="Times New Roman" w:hAnsi="Times New Roman"/>
          <w:sz w:val="18"/>
          <w:szCs w:val="18"/>
          <w:color w:val="auto"/>
        </w:rPr>
      </w:pPr>
    </w:p>
    <w:p>
      <w:pPr>
        <w:ind w:left="-1000" w:right="160" w:firstLine="1428"/>
        <w:spacing w:after="0" w:line="268" w:lineRule="auto"/>
        <w:tabs>
          <w:tab w:leader="none" w:pos="6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Fees</w:t>
      </w:r>
      <w:r>
        <w:rPr>
          <w:rFonts w:ascii="Times New Roman" w:cs="Times New Roman" w:eastAsia="Times New Roman" w:hAnsi="Times New Roman"/>
          <w:sz w:val="18"/>
          <w:szCs w:val="18"/>
          <w:color w:val="auto"/>
        </w:rPr>
        <w:t>. Each party shall pay its own legal fees and expenses incurred in connection with the preparation and execution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any effort to enforce its rights under the Agreement; provided, however, that the Company shall reimburse Executive for reasonable legal fees in the event Company seeks to modify the Agreement during its term without the consent of the Executive.</w:t>
      </w:r>
    </w:p>
    <w:p>
      <w:pPr>
        <w:spacing w:after="0" w:line="170" w:lineRule="exact"/>
        <w:rPr>
          <w:rFonts w:ascii="Times New Roman" w:cs="Times New Roman" w:eastAsia="Times New Roman" w:hAnsi="Times New Roman"/>
          <w:sz w:val="18"/>
          <w:szCs w:val="18"/>
          <w:color w:val="auto"/>
        </w:rPr>
      </w:pPr>
    </w:p>
    <w:p>
      <w:pPr>
        <w:ind w:left="-1000" w:right="420" w:firstLine="1428"/>
        <w:spacing w:after="0" w:line="286" w:lineRule="auto"/>
        <w:tabs>
          <w:tab w:leader="none" w:pos="6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All payments made under this Agreement shall be subject to reduction to reflect taxes or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withheld by law.</w:t>
      </w:r>
    </w:p>
    <w:p>
      <w:pPr>
        <w:spacing w:after="0" w:line="154" w:lineRule="exact"/>
        <w:rPr>
          <w:rFonts w:ascii="Times New Roman" w:cs="Times New Roman" w:eastAsia="Times New Roman" w:hAnsi="Times New Roman"/>
          <w:sz w:val="18"/>
          <w:szCs w:val="18"/>
          <w:color w:val="auto"/>
        </w:rPr>
      </w:pPr>
    </w:p>
    <w:p>
      <w:pPr>
        <w:ind w:left="-1000" w:right="60" w:firstLine="1428"/>
        <w:spacing w:after="0" w:line="262" w:lineRule="auto"/>
        <w:tabs>
          <w:tab w:leader="none" w:pos="6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will be governed by the laws of the State of [Insert] without regard to [Insert]’s conflicts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that may result in the application of the laws of any jurisdiction other than [Insert]. To the extent that any lawsuit is permitted under this Agreement, the Executive hereby expressly consents to the personal and exclusive jurisdiction and venue of the state and federal courts located in [Insert] for any lawsuit filed against the Executive by the Company.</w:t>
      </w:r>
    </w:p>
    <w:p>
      <w:pPr>
        <w:spacing w:after="0" w:line="176" w:lineRule="exact"/>
        <w:rPr>
          <w:rFonts w:ascii="Times New Roman" w:cs="Times New Roman" w:eastAsia="Times New Roman" w:hAnsi="Times New Roman"/>
          <w:sz w:val="18"/>
          <w:szCs w:val="18"/>
          <w:color w:val="auto"/>
        </w:rPr>
      </w:pPr>
    </w:p>
    <w:p>
      <w:pPr>
        <w:ind w:left="-1000" w:right="200" w:firstLine="1428"/>
        <w:spacing w:after="0" w:line="286" w:lineRule="auto"/>
        <w:tabs>
          <w:tab w:leader="none" w:pos="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any other provision hereof, which shall remain in full force and effect.</w:t>
      </w:r>
    </w:p>
    <w:p>
      <w:pPr>
        <w:spacing w:after="0" w:line="154" w:lineRule="exact"/>
        <w:rPr>
          <w:rFonts w:ascii="Times New Roman" w:cs="Times New Roman" w:eastAsia="Times New Roman" w:hAnsi="Times New Roman"/>
          <w:sz w:val="18"/>
          <w:szCs w:val="18"/>
          <w:color w:val="auto"/>
        </w:rPr>
      </w:pPr>
    </w:p>
    <w:p>
      <w:pPr>
        <w:ind w:left="-1000" w:right="140" w:firstLine="1428"/>
        <w:spacing w:after="0" w:line="254" w:lineRule="auto"/>
        <w:tabs>
          <w:tab w:leader="none" w:pos="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Code Section 409A</w:t>
      </w:r>
      <w:r>
        <w:rPr>
          <w:rFonts w:ascii="Times New Roman" w:cs="Times New Roman" w:eastAsia="Times New Roman" w:hAnsi="Times New Roman"/>
          <w:sz w:val="18"/>
          <w:szCs w:val="18"/>
          <w:color w:val="auto"/>
        </w:rPr>
        <w:t>. The parties intend that this Agreement and the payments and benefits provided hereunder,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those provided pursuant to Section 6 hereof, be exempt from the requirements of Section 409A of the Code (“Section 409A”) to the maximum extent possible, whether pursuant to the short-term deferral exception described in Treasury Regulation Section 1.409A-1(b)(4), the involuntary separation pay plan exception described in Treasury Regulation Section 1.409A-1(b)(9)(iii), or otherwise. To the extent Section 409A is applicable to this Agreement, the parties intend that this Agreement and any payments and benefits thereunder comply with the deferral, payout and other limitations and restrictions imposed under Section 409A. Notwithstanding anything herein to the contrary, this Agreement shall be interpreted, operated and administered in a manner consistent with such intentions; provided, however that in no event shall the Company or any of its parents, subsidiaries or affiliates be liable to Executive or any other person for any additional tax, interest or penalty that may be imposed on Executive or any other person under, or as a result of, Section 409A or for any damages incurred by Executive or any other person as a result of this Agreement’s (or the payments’ or benefits’ provided hereunder) failure to comply with, or be exempt from, Section 409A. Without limiting the generality of the foregoing, and notwithstanding any other provision of this Agreement to the contrary (other than the proviso in the immediately preceding sentence):</w:t>
      </w:r>
    </w:p>
    <w:p>
      <w:pPr>
        <w:sectPr>
          <w:pgSz w:w="11900" w:h="16838" w:orient="portrait"/>
          <w:cols w:equalWidth="0" w:num="1">
            <w:col w:w="10000"/>
          </w:cols>
          <w:pgMar w:left="1440" w:top="266" w:right="459" w:bottom="1440" w:gutter="0" w:footer="0" w:header="0"/>
        </w:sectPr>
      </w:pPr>
    </w:p>
    <w:bookmarkStart w:id="71" w:name="page72"/>
    <w:bookmarkEnd w:id="71"/>
    <w:p>
      <w:pPr>
        <w:ind w:left="1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if at the time Executive’s employment hereunder terminates, Executive is a “specified employee,” as defined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Section 409A(a)(2)(B)(i) of the Code, any and all amounts payable under this Agreement on account of such termination of employment that would (but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this provision) be payable within six (6) months following the date of termination, shall instead be paid in a lump sum on the first day of the seventh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month following the date on which Executive’s employment terminates or, if earlier, upon Executive’s death, except (i) to the extent of amounts that do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constitute a deferral of compensation within the meaning of Treasury Regulation Section 1.409A-1(b) (including without limitation by reason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safe harbor set forth in Treasury Regulation Section 1.409A-1(b)(9)(iii), as determined by the Company in its reasonable good faith discretion);</w:t>
      </w:r>
    </w:p>
    <w:p>
      <w:pPr>
        <w:spacing w:after="0" w:line="9" w:lineRule="exact"/>
        <w:rPr>
          <w:sz w:val="20"/>
          <w:szCs w:val="20"/>
          <w:color w:val="auto"/>
        </w:rPr>
      </w:pPr>
    </w:p>
    <w:p>
      <w:pPr>
        <w:ind w:left="4" w:right="100" w:hanging="4"/>
        <w:spacing w:after="0" w:line="260" w:lineRule="auto"/>
        <w:tabs>
          <w:tab w:leader="none" w:pos="2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which qualify as excepted welfare benefits pursuant to Treasury Regulation Section 1.409A 1(a)(5); and (iii) other amounts or benefits that are not subject to the requirements of Section 409A;</w:t>
      </w:r>
    </w:p>
    <w:p>
      <w:pPr>
        <w:spacing w:after="0" w:line="181" w:lineRule="exact"/>
        <w:rPr>
          <w:rFonts w:ascii="Times New Roman" w:cs="Times New Roman" w:eastAsia="Times New Roman" w:hAnsi="Times New Roman"/>
          <w:sz w:val="18"/>
          <w:szCs w:val="18"/>
          <w:color w:val="auto"/>
        </w:rPr>
      </w:pPr>
    </w:p>
    <w:p>
      <w:pPr>
        <w:ind w:left="4" w:right="60" w:firstLine="1979"/>
        <w:spacing w:after="0" w:line="258" w:lineRule="auto"/>
        <w:tabs>
          <w:tab w:leader="none" w:pos="2252"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amounts or benefits upon or following a termination of employment unless such termination is also a “separation from service,” as defined in Treasury Regulation Section 1.409A-1(h) after giving effect to the presumptions contained therein, and, for purposes of any such provision of this Agreement, references to a “terminate,” “termination,” “termination of employment,” “resignation” and like terms shall mean separation from service; and</w:t>
      </w:r>
    </w:p>
    <w:p>
      <w:pPr>
        <w:spacing w:after="0" w:line="183" w:lineRule="exact"/>
        <w:rPr>
          <w:rFonts w:ascii="Times New Roman" w:cs="Times New Roman" w:eastAsia="Times New Roman" w:hAnsi="Times New Roman"/>
          <w:sz w:val="18"/>
          <w:szCs w:val="18"/>
          <w:color w:val="auto"/>
        </w:rPr>
      </w:pPr>
    </w:p>
    <w:p>
      <w:pPr>
        <w:ind w:left="4" w:right="140" w:firstLine="1979"/>
        <w:spacing w:after="0" w:line="282" w:lineRule="auto"/>
        <w:tabs>
          <w:tab w:leader="none" w:pos="2302"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made under this Agreement shall be treated as a separate payment and the right to a series of installment payments under this Agreement shall be treated as a right to a series of separate payments.</w:t>
      </w:r>
    </w:p>
    <w:p>
      <w:pPr>
        <w:spacing w:after="0" w:line="157" w:lineRule="exact"/>
        <w:rPr>
          <w:rFonts w:ascii="Times New Roman" w:cs="Times New Roman" w:eastAsia="Times New Roman" w:hAnsi="Times New Roman"/>
          <w:sz w:val="18"/>
          <w:szCs w:val="18"/>
          <w:color w:val="auto"/>
        </w:rPr>
      </w:pPr>
    </w:p>
    <w:p>
      <w:pPr>
        <w:ind w:left="4" w:firstLine="1428"/>
        <w:spacing w:after="0" w:line="262" w:lineRule="auto"/>
        <w:tabs>
          <w:tab w:leader="none" w:pos="169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Assignment</w:t>
      </w:r>
      <w:r>
        <w:rPr>
          <w:rFonts w:ascii="Times New Roman" w:cs="Times New Roman" w:eastAsia="Times New Roman" w:hAnsi="Times New Roman"/>
          <w:sz w:val="18"/>
          <w:szCs w:val="18"/>
          <w:color w:val="auto"/>
        </w:rPr>
        <w:t>. This Agreement and all rights and obligations of the Executive hereunder are personal to the Executive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transferred or assigned by the Executive at any time. The Company may assign its rights under this Agreement to any entity that expressly in writing assumes the Company’s obligations hereunder in connection with any sale or transfer of all or substantially all of the Company’s assets to such entity.</w:t>
      </w:r>
    </w:p>
    <w:p>
      <w:pPr>
        <w:spacing w:after="0" w:line="176" w:lineRule="exact"/>
        <w:rPr>
          <w:rFonts w:ascii="Times New Roman" w:cs="Times New Roman" w:eastAsia="Times New Roman" w:hAnsi="Times New Roman"/>
          <w:sz w:val="18"/>
          <w:szCs w:val="18"/>
          <w:color w:val="auto"/>
        </w:rPr>
      </w:pPr>
    </w:p>
    <w:p>
      <w:pPr>
        <w:ind w:left="4" w:right="80" w:firstLine="1428"/>
        <w:spacing w:after="0" w:line="286" w:lineRule="auto"/>
        <w:tabs>
          <w:tab w:leader="none" w:pos="16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together shall constitute one and the same instrument.</w:t>
      </w:r>
    </w:p>
    <w:p>
      <w:pPr>
        <w:sectPr>
          <w:pgSz w:w="11900" w:h="16838" w:orient="portrait"/>
          <w:cols w:equalWidth="0" w:num="1">
            <w:col w:w="10984"/>
          </w:cols>
          <w:pgMar w:left="436" w:top="270" w:right="479" w:bottom="1440" w:gutter="0" w:footer="0" w:header="0"/>
        </w:sectPr>
      </w:pPr>
    </w:p>
    <w:bookmarkStart w:id="72" w:name="page73"/>
    <w:bookmarkEnd w:id="72"/>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of the parties has executed this Agreement, in the case of the Company by its duly authorized officer,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Effective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Lattice Semiconductor Corporation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6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 xml:space="preserve">       </w:t>
            </w: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By:                                                                 </w:t>
            </w:r>
          </w:p>
        </w:tc>
      </w:tr>
      <w:tr>
        <w:trPr>
          <w:trHeight w:val="20"/>
        </w:trPr>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1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0"/>
              </w:rPr>
              <w:t>Name: [ 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440" w:type="dxa"/>
            <w:vAlign w:val="bottom"/>
          </w:tcPr>
          <w:p>
            <w:pPr>
              <w:jc w:val="right"/>
              <w:ind w:right="3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 [Insert]</w:t>
            </w:r>
          </w:p>
        </w:tc>
      </w:tr>
      <w:tr>
        <w:trPr>
          <w:trHeight w:val="23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Title: [ 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Title: Executive</w:t>
            </w:r>
          </w:p>
        </w:tc>
      </w:tr>
    </w:tbl>
    <w:p>
      <w:pPr>
        <w:sectPr>
          <w:pgSz w:w="11900" w:h="16838" w:orient="portrait"/>
          <w:cols w:equalWidth="0" w:num="1">
            <w:col w:w="10980"/>
          </w:cols>
          <w:pgMar w:left="440" w:top="266" w:right="47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Arbitration Agreement (California)</w:t>
      </w:r>
    </w:p>
    <w:p>
      <w:pPr>
        <w:spacing w:after="0" w:line="229"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In consideration of Executive’s employment with the Company, the Company’s promise to arbitrate all employment-related disputes with Executive, and Executive’s receipt of compensation and other benefits paid or provided to Executive by the Company, at present and in the future, Executive agrees that any and all controversies, claims, or disputes that Executive may have with the Company or any of its subsidiaries or affiliates (including any Company (or any Company subsidiary or affiliate) employee, officer, director, trustee, or benefit plan of the Company, in their capacity as such or otherwise), arising out of, relating to, or resulting from Executive’s employment or relationship with the Company or the termination of Executive’s employment or relationship with the Company, including any breach of this agreement to arbitrate, shall be subject to binding arbitration pursuant to the Federal Arbitration Act (9 U.S.C. sec. 1 et seq.) (the “FAA”). The FAA’s substantive and procedural provisions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 Executive further agrees that, to the fullest extent permitted by law, Executive may bring any arbitration proceeding only in Executive’s individual capacity, and not as a plaintiff, representative, or class member in any purported class or collective action, lawsuit or proceeding. Executive agrees that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persons. To the fullest extent permitted by law, Executive agrees to arbitrate any and all common law and/or statutory claims under local, state, or federal law, including, but not limited to, claims under Title VII of the Civil Rights Act of 1964, the Americans with Disabilities Act of 1990, the Age Discrimination in Employment Act of 1967, the Older Workers Benefit Protection Act, the Worker Adjustment and Retraining Notification Act, the Fair Labor Standards Act, the Fair Credit Reporting Act, the Employee Retirement Income Security Act of 1974, the California Fair Employment and Housing Act, the Family and Medical Leave Act, the California Family Rights Act, the California Labor Code, claims relating to employment status, compensation (cash, equity, bonus, or otherwise), or classification, and claims of harassment, discrimination, retaliation, wrongful termination, and breach of contract. To the fullest extent permitted by law, Executive also agrees to arbitrate any and all disputes arising out of or relating to the interpretation or application of this agreement to arbitrate, but not disputes about the enforceability, revocability, or validity of this agreement to arbitrate or its requirement that Executive bring any arbitration proceeding only in Executive’s individual capacity. With respect to all such claims and disputes that Executive agrees to arbitrate, Executive hereby expressly agrees to waive, and does waive, any right to a trial by jury. Executive further understands that this agreement to arbitrate also applies to any disputes that the Company may have with Executive. Executive understands that nothing in this agreement to arbitrate requires Executive to arbitrate claims that cannot be arbitrated under the Sarbanes-Oxley Act or other law that expressly prohibits arbitration of a claim notwithstanding the application of the FAA.</w:t>
      </w:r>
    </w:p>
    <w:p>
      <w:pPr>
        <w:spacing w:after="0" w:line="9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Administration of Arbitration.</w:t>
      </w:r>
      <w:r>
        <w:rPr>
          <w:rFonts w:ascii="Times New Roman" w:cs="Times New Roman" w:eastAsia="Times New Roman" w:hAnsi="Times New Roman"/>
          <w:sz w:val="18"/>
          <w:szCs w:val="18"/>
          <w:color w:val="auto"/>
        </w:rPr>
        <w:t xml:space="preserve"> Executive agrees that any arbitration will be administered by JAMS pursuant to its Employment Arbitration Rules &amp; Procedures (the “JAMS Employment Rules”), which are available at http://www.jamsadr.com/rules-employment-arbitration/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from the Company</w:t>
      </w:r>
      <w:r>
        <w:rPr>
          <w:rFonts w:ascii="Times New Roman" w:cs="Times New Roman" w:eastAsia="Times New Roman" w:hAnsi="Times New Roman"/>
          <w:sz w:val="18"/>
          <w:szCs w:val="18"/>
          <w:color w:val="auto"/>
        </w:rPr>
        <w:t>. If the JAMS Employment Rules cannot be enforced as to the arbitration, then the parties agree that they will arbitrate this dispute utilizing the JAMS Comprehensive Arbitration Rules and Procedures or such rules as the arbitrator may deem most appropriate for the dispute (the rules under which the arbitration is administered, whether the JAMS Employment Rules or otherwise, are referred to herein</w:t>
      </w:r>
    </w:p>
    <w:p>
      <w:pPr>
        <w:sectPr>
          <w:pgSz w:w="11900" w:h="16838" w:orient="portrait"/>
          <w:cols w:equalWidth="0" w:num="1">
            <w:col w:w="11000"/>
          </w:cols>
          <w:pgMar w:left="440" w:top="266" w:right="459" w:bottom="1440" w:gutter="0" w:footer="0" w:header="0"/>
        </w:sectPr>
      </w:pPr>
    </w:p>
    <w:bookmarkStart w:id="74" w:name="page75"/>
    <w:bookmarkEnd w:id="7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the “JAMS Rules”). In the event of any conflict between the terms of this arbitration agreement and the JAMS Rules, this arbitration agreement shall take precedence. Executive agrees that the arbitrator shall have the power to decide any motions brought by any party to the arbitration, including motions for summary judgment and/or adjudication, and motions to dismiss and demurrers, applying the standards set forth for such motions under applicable law. Executive agrees that the arbitrator shall issue a written decision on the merits. Executive also agrees that the arbitrator shall have the power to award any remedies available under applicable law, and that the arbitrator may award attorneys’ fees and costs to the prevailing party, where permitted by applicable law. Executive agrees that the decree or award rendered by the arbitrator may be entered as a final and binding judgment in any court having jurisdiction thereof. Executive understands and agrees that the Company will pay for any administrative or hearing fees charged by the arbitrator or JAMS (and that the Company will have at least ninety (90) days from the date it receives an invoice from JAMS to pay such invoice), except that Executive shall pay any filing fees associated with any arbitration that Executive initiates, but only so much of the filing fees as Executive would have instead paid had Executive filed a complaint in a court of law that would have had jurisdiction over such complaint. Subject to the FAA’s exclusive applicability to the enforcement of this agreement to arbitrate, Executive agrees that the arbitrator shall administer and conduct any arbitration hearing or proceeding applying applicable law. Executive agrees that any arbitration under this agreement to arbitrate shall be conducted in the county in California where Executive was employed as of the earlier of Executive’s termination from employment or commencement of the arbitration, and the arbitrator shall consider the convenience to the parties in setting the location of the arbitration within such county.</w:t>
      </w:r>
    </w:p>
    <w:p>
      <w:pPr>
        <w:spacing w:after="0" w:line="89" w:lineRule="exact"/>
        <w:rPr>
          <w:sz w:val="20"/>
          <w:szCs w:val="20"/>
          <w:color w:val="auto"/>
        </w:rPr>
      </w:pPr>
    </w:p>
    <w:p>
      <w:pPr>
        <w:ind w:right="4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xml:space="preserve"> For purposes of seeking provisional remedies only, Executive agrees that the Company and Executive shall be entitled to pursue any provisional remedy permitted by the California Arbitration Act (California Code Civ. Proc. § 1281.8), or otherwise provided by this agreement to arbitrate. Except for such provisional relief, Executive agrees that any relief otherwise available to the Company or Executive under applicable law shall be pursued solely and exclusively in arbitration pursuant to the terms of this agreement to arbitrate.</w:t>
      </w:r>
    </w:p>
    <w:p>
      <w:pPr>
        <w:spacing w:after="0" w:line="7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Administrative Relief.</w:t>
      </w:r>
      <w:r>
        <w:rPr>
          <w:rFonts w:ascii="Times New Roman" w:cs="Times New Roman" w:eastAsia="Times New Roman" w:hAnsi="Times New Roman"/>
          <w:sz w:val="18"/>
          <w:szCs w:val="18"/>
          <w:color w:val="auto"/>
        </w:rPr>
        <w:t xml:space="preserve"> Executive understands that this agreement to arbitrate does not prohibit Executive from pursuing an administrative claim with a local, state, or federal administrative body or government agency that is authorized to enforce or administer laws related to employment, including, but not limited to, the California Civil Rights Department, the Equal Employment Opportunity Commission, the National Labor Relations Board, the Securities and Exchange Commission, or the Workers’ Compensation Board. This agreement to arbitrate does, however, preclude Executive from pursuing a court action regarding any such claim, except as permitted by law.</w:t>
      </w:r>
    </w:p>
    <w:p>
      <w:pPr>
        <w:spacing w:after="0" w:line="75"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Voluntary Nature of Agreement; Enforcement.</w:t>
      </w:r>
      <w:r>
        <w:rPr>
          <w:rFonts w:ascii="Times New Roman" w:cs="Times New Roman" w:eastAsia="Times New Roman" w:hAnsi="Times New Roman"/>
          <w:sz w:val="18"/>
          <w:szCs w:val="18"/>
          <w:color w:val="auto"/>
        </w:rPr>
        <w:t xml:space="preserve"> Executive acknowledges and agrees that Executive is executing this agreement to arbitrate voluntarily and without any duress or undue influence by the Company or anyone else. Executive further acknowledges and agrees that Executive has carefully read this agreement to arbitrate and that Executive has asked any questions needed for Executive to understand the terms, consequences, and binding effect of this agreement to arbitrate and fully understand it, including that </w:t>
      </w:r>
      <w:r>
        <w:rPr>
          <w:rFonts w:ascii="Times New Roman" w:cs="Times New Roman" w:eastAsia="Times New Roman" w:hAnsi="Times New Roman"/>
          <w:sz w:val="18"/>
          <w:szCs w:val="18"/>
          <w:b w:val="1"/>
          <w:bCs w:val="1"/>
          <w:i w:val="1"/>
          <w:iCs w:val="1"/>
          <w:u w:val="single" w:color="auto"/>
          <w:color w:val="auto"/>
        </w:rPr>
        <w:t>Executive is waiving Executive’s right to a jury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trial</w:t>
      </w:r>
      <w:r>
        <w:rPr>
          <w:rFonts w:ascii="Times New Roman" w:cs="Times New Roman" w:eastAsia="Times New Roman" w:hAnsi="Times New Roman"/>
          <w:sz w:val="18"/>
          <w:szCs w:val="18"/>
          <w:color w:val="auto"/>
        </w:rPr>
        <w:t>. Executive agrees that Executive has been provided an opportunity to seek the advice of an attorney of Executive’s choice before signing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to arbitrate. This arbitration agreement is to be enforced to the maximum extent permitted by applicable law. Accordingly, Executive agrees that if a court or other body of competent jurisdiction finds that any provision or portion of this arbitration agreement is invalid or unenforceable, such provision or portion, as applicable, shall be enforced to the maximum extent permissible by applicable law or, if necessary, severed, and the remainder of the arbitration agreement will continue with full force and effect.</w:t>
      </w:r>
    </w:p>
    <w:p>
      <w:pPr>
        <w:sectPr>
          <w:pgSz w:w="11900" w:h="16838" w:orient="portrait"/>
          <w:cols w:equalWidth="0" w:num="1">
            <w:col w:w="11000"/>
          </w:cols>
          <w:pgMar w:left="440" w:top="270" w:right="459" w:bottom="1440" w:gutter="0" w:footer="0" w:header="0"/>
        </w:sectPr>
      </w:pPr>
    </w:p>
    <w:bookmarkStart w:id="75" w:name="page76"/>
    <w:bookmarkEnd w:id="75"/>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[Name of Executive]</w:t>
      </w:r>
      <w:r>
        <w:rPr>
          <w:sz w:val="20"/>
          <w:szCs w:val="20"/>
          <w:color w:val="auto"/>
        </w:rPr>
        <w:tab/>
      </w:r>
      <w:r>
        <w:rPr>
          <w:rFonts w:ascii="Times New Roman" w:cs="Times New Roman" w:eastAsia="Times New Roman" w:hAnsi="Times New Roman"/>
          <w:sz w:val="18"/>
          <w:szCs w:val="18"/>
          <w:color w:val="auto"/>
        </w:rPr>
        <w:t>[Company Representative Name] [Title]</w:t>
      </w:r>
    </w:p>
    <w:p>
      <w:pPr>
        <w:sectPr>
          <w:pgSz w:w="11900" w:h="16838" w:orient="portrait"/>
          <w:cols w:equalWidth="0" w:num="1">
            <w:col w:w="10019"/>
          </w:cols>
          <w:pgMar w:left="440" w:top="270"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Ford Tamer, certify that:</w:t>
      </w:r>
    </w:p>
    <w:p>
      <w:pPr>
        <w:spacing w:after="0" w:line="131"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Lattice Semiconductor Corporation;</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Ford Tamer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7946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Ford Tamer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024"/>
          </w:cols>
          <w:pgMar w:left="436" w:top="117" w:right="4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Lorenzo A. Flores, certify that:</w:t>
      </w:r>
    </w:p>
    <w:p>
      <w:pPr>
        <w:spacing w:after="0" w:line="131"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Lattice Semiconductor Corporation;</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Lorenzo 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7946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Lorenzo A. Flores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w:t>
      </w:r>
    </w:p>
    <w:p>
      <w:pPr>
        <w:sectPr>
          <w:pgSz w:w="11900" w:h="16838" w:orient="portrait"/>
          <w:cols w:equalWidth="0" w:num="1">
            <w:col w:w="11024"/>
          </w:cols>
          <w:pgMar w:left="436" w:top="117" w:right="439" w:bottom="1440" w:gutter="0" w:footer="0" w:header="0"/>
        </w:sectPr>
      </w:pPr>
    </w:p>
    <w:bookmarkStart w:id="78" w:name="page79"/>
    <w:bookmarkEnd w:id="78"/>
    <w:p>
      <w:pPr>
        <w:ind w:left="100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15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Lattice Semiconductor Corporation (the Company) on Form 10-Q for the quarter ended October 3, 2026 (the Report), I, Ford Tamer, Chief Executive Officer of the Company, certify, pursuant to 18 U.S.C. Section 1350, as adopted pursuant to Section 906 of the Sarbanes-Oxley Act of 2002, that:</w:t>
      </w:r>
    </w:p>
    <w:p>
      <w:pPr>
        <w:spacing w:after="0" w:line="81" w:lineRule="exact"/>
        <w:rPr>
          <w:sz w:val="20"/>
          <w:szCs w:val="20"/>
          <w:color w:val="auto"/>
        </w:rPr>
      </w:pPr>
    </w:p>
    <w:p>
      <w:pPr>
        <w:ind w:left="960" w:hanging="53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Ford Tamer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26035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Ford Tamer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ectPr>
          <w:pgSz w:w="11900" w:h="16838" w:orient="portrait"/>
          <w:cols w:equalWidth="0" w:num="1">
            <w:col w:w="11020"/>
          </w:cols>
          <w:pgMar w:left="440" w:top="117" w:right="439" w:bottom="1440" w:gutter="0" w:footer="0" w:header="0"/>
        </w:sectPr>
      </w:pPr>
    </w:p>
    <w:bookmarkStart w:id="79" w:name="page80"/>
    <w:bookmarkEnd w:id="79"/>
    <w:p>
      <w:pPr>
        <w:ind w:left="100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Lattice Semiconductor Corporation (the Company) on Form 10-Q for the quarter ended October 3, 2026 (the Report), I, Lorenzo A. Flores, Senior Vice President, Chief Financial Officer of the Company, certify, pursuant to 18 U.S.C. Section 1350, as adopted pursuant to Section 906 of the Sarbanes-Oxley Act of 2002, that:</w:t>
      </w:r>
    </w:p>
    <w:p>
      <w:pPr>
        <w:spacing w:after="0" w:line="81" w:lineRule="exact"/>
        <w:rPr>
          <w:sz w:val="20"/>
          <w:szCs w:val="20"/>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Lorenzo 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26035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Lorenzo A. Flores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lvl w:ilvl="1">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lvl w:ilvl="1">
      <w:lvlJc w:val="left"/>
      <w:lvlText w:val="(%2)"/>
      <w:numFmt w:val="lowerLetter"/>
      <w:start w:val="1"/>
    </w:lvl>
  </w:abstractNum>
  <w:abstractNum w:abstractNumId="20">
    <w:nsid w:val="22221A70"/>
    <w:multiLevelType w:val="hybridMultilevel"/>
    <w:lvl w:ilvl="0">
      <w:lvlJc w:val="left"/>
      <w:lvlText w:val="(%1)"/>
      <w:numFmt w:val="lowerLetter"/>
      <w:start w:val="3"/>
    </w:lvl>
    <w:lvl w:ilvl="1">
      <w:lvlJc w:val="left"/>
      <w:lvlText w:val="(%2)"/>
      <w:numFmt w:val="lowerRoman"/>
      <w:start w:val="1"/>
    </w:lvl>
  </w:abstractNum>
  <w:abstractNum w:abstractNumId="21">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2">
    <w:nsid w:val="3006C83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3">
    <w:nsid w:val="614FD4A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4">
    <w:nsid w:val="419AC241"/>
    <w:multiLevelType w:val="hybridMultilevel"/>
    <w:lvl w:ilvl="0">
      <w:lvlJc w:val="left"/>
      <w:lvlText w:val="%1."/>
      <w:numFmt w:val="decimal"/>
      <w:start w:val="5"/>
    </w:lvl>
    <w:lvl w:ilvl="1">
      <w:lvlJc w:val="left"/>
      <w:lvlText w:val="(%2)"/>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decimal"/>
      <w:start w:val="1"/>
    </w:lvl>
    <w:lvl w:ilvl="1">
      <w:lvlJc w:val="left"/>
      <w:lvlText w:val="(%2)"/>
      <w:numFmt w:val="lowerLetter"/>
      <w:start w:val="3"/>
    </w:lvl>
  </w:abstractNum>
  <w:abstractNum w:abstractNumId="27">
    <w:nsid w:val="5072367"/>
    <w:multiLevelType w:val="hybridMultilevel"/>
    <w:lvl w:ilvl="0">
      <w:lvlJc w:val="left"/>
      <w:lvlText w:val="(%1)"/>
      <w:numFmt w:val="decimal"/>
      <w:start w:val="3"/>
    </w:lvl>
    <w:lvl w:ilvl="1">
      <w:lvlJc w:val="left"/>
      <w:lvlText w:val="(%2)"/>
      <w:numFmt w:val="lowerLetter"/>
      <w:start w:val="4"/>
    </w:lvl>
  </w:abstractNum>
  <w:abstractNum w:abstractNumId="28">
    <w:nsid w:val="3804823E"/>
    <w:multiLevelType w:val="hybridMultilevel"/>
    <w:lvl w:ilvl="0">
      <w:lvlJc w:val="left"/>
      <w:lvlText w:val="(%1)"/>
      <w:numFmt w:val="decimal"/>
      <w:start w:val="1"/>
    </w:lvl>
    <w:lvl w:ilvl="1">
      <w:lvlJc w:val="left"/>
      <w:lvlText w:val="%2"/>
      <w:numFmt w:val="lowerLetter"/>
      <w:start w:val="1"/>
    </w:lvl>
  </w:abstractNum>
  <w:abstractNum w:abstractNumId="29">
    <w:nsid w:val="77465F01"/>
    <w:multiLevelType w:val="hybridMultilevel"/>
    <w:lvl w:ilvl="0">
      <w:lvlJc w:val="left"/>
      <w:lvlText w:val="%1"/>
      <w:numFmt w:val="lowerRoman"/>
      <w:start w:val="1"/>
    </w:lvl>
    <w:lvl w:ilvl="1">
      <w:lvlJc w:val="left"/>
      <w:lvlText w:val="(%2)"/>
      <w:numFmt w:val="lowerLetter"/>
      <w:start w:val="6"/>
    </w:lvl>
  </w:abstractNum>
  <w:abstractNum w:abstractNumId="30">
    <w:nsid w:val="7724C67E"/>
    <w:multiLevelType w:val="hybridMultilevel"/>
    <w:lvl w:ilvl="0">
      <w:lvlJc w:val="left"/>
      <w:lvlText w:val="(%1)"/>
      <w:numFmt w:val="lowerRoman"/>
      <w:start w:val="7"/>
    </w:lvl>
    <w:lvl w:ilvl="1">
      <w:lvlJc w:val="left"/>
      <w:lvlText w:val="%2"/>
      <w:numFmt w:val="lowerLetter"/>
      <w:start w:val="1"/>
    </w:lvl>
  </w:abstractNum>
  <w:abstractNum w:abstractNumId="31">
    <w:nsid w:val="5C482A97"/>
    <w:multiLevelType w:val="hybridMultilevel"/>
    <w:lvl w:ilvl="0">
      <w:lvlJc w:val="left"/>
      <w:lvlText w:val="(%1)"/>
      <w:numFmt w:val="lowerLetter"/>
      <w:start w:val="8"/>
    </w:lvl>
  </w:abstractNum>
  <w:abstractNum w:abstractNumId="32">
    <w:nsid w:val="2463B9EA"/>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33">
    <w:nsid w:val="5E884ADC"/>
    <w:multiLevelType w:val="hybridMultilevel"/>
    <w:lvl w:ilvl="0">
      <w:lvlJc w:val="left"/>
      <w:lvlText w:val="(%1)"/>
      <w:numFmt w:val="lowerRoman"/>
      <w:start w:val="2"/>
    </w:lvl>
    <w:lvl w:ilvl="1">
      <w:lvlJc w:val="left"/>
      <w:lvlText w:val="%2."/>
      <w:numFmt w:val="decimal"/>
      <w:start w:val="7"/>
    </w:lvl>
    <w:lvl w:ilvl="2">
      <w:lvlJc w:val="left"/>
      <w:lvlText w:val="%3"/>
      <w:numFmt w:val="lowerRoman"/>
      <w:start w:val="1"/>
    </w:lvl>
  </w:abstractNum>
  <w:abstractNum w:abstractNumId="34">
    <w:nsid w:val="51EAD36B"/>
    <w:multiLevelType w:val="hybridMultilevel"/>
    <w:lvl w:ilvl="0">
      <w:lvlJc w:val="left"/>
      <w:lvlText w:val="%1"/>
      <w:numFmt w:val="decimal"/>
      <w:start w:val="1"/>
    </w:lvl>
    <w:lvl w:ilvl="1">
      <w:lvlJc w:val="left"/>
      <w:lvlText w:val="(%2)"/>
      <w:numFmt w:val="lowerLetter"/>
      <w:start w:val="1"/>
    </w:lvl>
  </w:abstractNum>
  <w:abstractNum w:abstractNumId="35">
    <w:nsid w:val="2D517796"/>
    <w:multiLevelType w:val="hybridMultilevel"/>
    <w:lvl w:ilvl="0">
      <w:lvlJc w:val="left"/>
      <w:lvlText w:val="%1."/>
      <w:numFmt w:val="decimal"/>
      <w:start w:val="8"/>
    </w:lvl>
    <w:lvl w:ilvl="1">
      <w:lvlJc w:val="left"/>
      <w:lvlText w:val="(%2)"/>
      <w:numFmt w:val="lowerLetter"/>
      <w:start w:val="1"/>
    </w:lvl>
  </w:abstractNum>
  <w:abstractNum w:abstractNumId="36">
    <w:nsid w:val="580BD78F"/>
    <w:multiLevelType w:val="hybridMultilevel"/>
    <w:lvl w:ilvl="0">
      <w:lvlJc w:val="left"/>
      <w:lvlText w:val="(%1)"/>
      <w:numFmt w:val="lowerLetter"/>
      <w:start w:val="4"/>
    </w:lvl>
  </w:abstractNum>
  <w:abstractNum w:abstractNumId="37">
    <w:nsid w:val="153EA438"/>
    <w:multiLevelType w:val="hybridMultilevel"/>
    <w:lvl w:ilvl="0">
      <w:lvlJc w:val="left"/>
      <w:lvlText w:val="%1."/>
      <w:numFmt w:val="decimal"/>
      <w:start w:val="9"/>
    </w:lvl>
    <w:lvl w:ilvl="1">
      <w:lvlJc w:val="left"/>
      <w:lvlText w:val="(%2)"/>
      <w:numFmt w:val="lowerLetter"/>
      <w:start w:val="1"/>
    </w:lvl>
  </w:abstractNum>
  <w:abstractNum w:abstractNumId="38">
    <w:nsid w:val="3855585C"/>
    <w:multiLevelType w:val="hybridMultilevel"/>
    <w:lvl w:ilvl="0">
      <w:lvlJc w:val="left"/>
      <w:lvlText w:val="(%1)"/>
      <w:numFmt w:val="lowerLetter"/>
      <w:start w:val="5"/>
    </w:lvl>
  </w:abstractNum>
  <w:abstractNum w:abstractNumId="39">
    <w:nsid w:val="70A64E2A"/>
    <w:multiLevelType w:val="hybridMultilevel"/>
    <w:lvl w:ilvl="0">
      <w:lvlJc w:val="left"/>
      <w:lvlText w:val="(%1)"/>
      <w:numFmt w:val="lowerRoman"/>
      <w:start w:val="2"/>
    </w:lvl>
    <w:lvl w:ilvl="1">
      <w:lvlJc w:val="left"/>
      <w:lvlText w:val="(%2)"/>
      <w:numFmt w:val="lowerLetter"/>
      <w:start w:val="10"/>
    </w:lvl>
    <w:lvl w:ilvl="2">
      <w:lvlJc w:val="left"/>
      <w:lvlText w:val="(%3)"/>
      <w:numFmt w:val="lowerRoman"/>
      <w:start w:val="2"/>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2026-11-03T16:19:01Z</dcterms:created>
  <dcterms:modified xsi:type="dcterms:W3CDTF">2026-11-03T16:19:01Z</dcterms:modified>
</cp:coreProperties>
</file>